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eastAsia="仿宋"/>
          <w:b/>
          <w:bCs/>
          <w:color w:val="auto"/>
          <w:sz w:val="44"/>
          <w:szCs w:val="52"/>
        </w:rPr>
      </w:pPr>
      <w:r>
        <w:rPr>
          <w:rFonts w:hint="eastAsia" w:eastAsia="仿宋"/>
          <w:b/>
          <w:bCs/>
          <w:color w:val="auto"/>
          <w:sz w:val="44"/>
          <w:szCs w:val="52"/>
        </w:rPr>
        <w:drawing>
          <wp:anchor distT="0" distB="0" distL="114300" distR="114300" simplePos="0" relativeHeight="251662336" behindDoc="0" locked="0" layoutInCell="1" allowOverlap="1">
            <wp:simplePos x="0" y="0"/>
            <wp:positionH relativeFrom="column">
              <wp:posOffset>-59055</wp:posOffset>
            </wp:positionH>
            <wp:positionV relativeFrom="paragraph">
              <wp:posOffset>-556260</wp:posOffset>
            </wp:positionV>
            <wp:extent cx="1370330" cy="563245"/>
            <wp:effectExtent l="19050" t="0" r="1270" b="0"/>
            <wp:wrapNone/>
            <wp:docPr id="2" name="图片 2" descr="1092c903b3ce7839f08d663294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92c903b3ce7839f08d663294bac20"/>
                    <pic:cNvPicPr>
                      <a:picLocks noChangeAspect="1"/>
                    </pic:cNvPicPr>
                  </pic:nvPicPr>
                  <pic:blipFill>
                    <a:blip r:embed="rId17" cstate="print"/>
                    <a:stretch>
                      <a:fillRect/>
                    </a:stretch>
                  </pic:blipFill>
                  <pic:spPr>
                    <a:xfrm>
                      <a:off x="0" y="0"/>
                      <a:ext cx="1370330" cy="563245"/>
                    </a:xfrm>
                    <a:prstGeom prst="rect">
                      <a:avLst/>
                    </a:prstGeom>
                  </pic:spPr>
                </pic:pic>
              </a:graphicData>
            </a:graphic>
          </wp:anchor>
        </w:drawing>
      </w:r>
    </w:p>
    <w:p>
      <w:pPr>
        <w:spacing w:line="360" w:lineRule="auto"/>
        <w:jc w:val="center"/>
        <w:rPr>
          <w:rFonts w:ascii="仿宋" w:hAnsi="仿宋" w:eastAsia="仿宋" w:cs="仿宋"/>
          <w:b/>
          <w:color w:val="auto"/>
          <w:sz w:val="40"/>
          <w:szCs w:val="40"/>
        </w:rPr>
      </w:pPr>
      <w:r>
        <w:rPr>
          <w:rFonts w:hint="eastAsia" w:eastAsia="仿宋"/>
          <w:b/>
          <w:bCs/>
          <w:color w:val="auto"/>
          <w:sz w:val="44"/>
          <w:szCs w:val="52"/>
        </w:rPr>
        <w:t>富顺县中医医院全院中央空调、手术室洁净空调、精密空调、净化设备、新风设备等维保服务采购项目</w:t>
      </w:r>
    </w:p>
    <w:p>
      <w:pPr>
        <w:spacing w:after="120" w:line="360" w:lineRule="auto"/>
        <w:jc w:val="center"/>
        <w:rPr>
          <w:rFonts w:ascii="仿宋" w:hAnsi="仿宋" w:eastAsia="仿宋" w:cs="仿宋"/>
          <w:b/>
          <w:color w:val="auto"/>
          <w:sz w:val="48"/>
          <w:szCs w:val="48"/>
        </w:rPr>
      </w:pPr>
      <w:r>
        <w:rPr>
          <w:rFonts w:hint="eastAsia" w:ascii="仿宋" w:hAnsi="仿宋" w:eastAsia="仿宋" w:cs="仿宋"/>
          <w:b/>
          <w:color w:val="auto"/>
          <w:sz w:val="36"/>
          <w:szCs w:val="36"/>
        </w:rPr>
        <w:t>项目编号：JRZB-2024-Q084</w:t>
      </w:r>
    </w:p>
    <w:p>
      <w:pPr>
        <w:widowControl/>
        <w:jc w:val="center"/>
        <w:rPr>
          <w:rFonts w:ascii="仿宋" w:hAnsi="仿宋" w:eastAsia="仿宋" w:cs="仿宋"/>
          <w:color w:val="auto"/>
          <w:kern w:val="0"/>
          <w:sz w:val="24"/>
        </w:rPr>
      </w:pPr>
    </w:p>
    <w:p>
      <w:pPr>
        <w:tabs>
          <w:tab w:val="left" w:pos="28"/>
          <w:tab w:val="center" w:pos="4875"/>
        </w:tabs>
        <w:jc w:val="center"/>
        <w:rPr>
          <w:rFonts w:ascii="仿宋" w:hAnsi="仿宋" w:eastAsia="仿宋" w:cs="仿宋"/>
          <w:b/>
          <w:color w:val="auto"/>
          <w:w w:val="88"/>
          <w:sz w:val="144"/>
          <w:szCs w:val="144"/>
        </w:rPr>
      </w:pPr>
    </w:p>
    <w:p>
      <w:pPr>
        <w:tabs>
          <w:tab w:val="left" w:pos="28"/>
          <w:tab w:val="center" w:pos="4875"/>
        </w:tabs>
        <w:jc w:val="center"/>
        <w:rPr>
          <w:rFonts w:ascii="仿宋" w:hAnsi="仿宋" w:eastAsia="仿宋" w:cs="仿宋"/>
          <w:b/>
          <w:color w:val="auto"/>
          <w:w w:val="128"/>
          <w:sz w:val="112"/>
          <w:szCs w:val="112"/>
        </w:rPr>
      </w:pPr>
      <w:r>
        <w:rPr>
          <w:rFonts w:hint="eastAsia" w:ascii="仿宋" w:hAnsi="仿宋" w:eastAsia="仿宋" w:cs="仿宋"/>
          <w:b/>
          <w:color w:val="auto"/>
          <w:w w:val="88"/>
          <w:sz w:val="144"/>
          <w:szCs w:val="144"/>
        </w:rPr>
        <w:t>竞争性谈判文件</w:t>
      </w:r>
    </w:p>
    <w:p>
      <w:pPr>
        <w:rPr>
          <w:rFonts w:ascii="仿宋" w:hAnsi="仿宋" w:eastAsia="仿宋" w:cs="仿宋"/>
          <w:b/>
          <w:color w:val="auto"/>
          <w:sz w:val="44"/>
          <w:szCs w:val="44"/>
        </w:rPr>
      </w:pPr>
    </w:p>
    <w:p>
      <w:pPr>
        <w:rPr>
          <w:color w:val="auto"/>
        </w:rPr>
      </w:pPr>
    </w:p>
    <w:p>
      <w:pPr>
        <w:pStyle w:val="2"/>
        <w:rPr>
          <w:rFonts w:ascii="仿宋" w:hAnsi="仿宋" w:eastAsia="仿宋" w:cs="仿宋"/>
          <w:b/>
          <w:color w:val="auto"/>
          <w:sz w:val="44"/>
          <w:szCs w:val="44"/>
        </w:rPr>
      </w:pPr>
    </w:p>
    <w:p>
      <w:pPr>
        <w:rPr>
          <w:color w:val="auto"/>
        </w:rPr>
      </w:pPr>
    </w:p>
    <w:p>
      <w:pPr>
        <w:pStyle w:val="2"/>
        <w:rPr>
          <w:color w:val="auto"/>
        </w:rPr>
      </w:pPr>
    </w:p>
    <w:p>
      <w:pPr>
        <w:spacing w:line="360" w:lineRule="auto"/>
        <w:ind w:left="2562" w:leftChars="608" w:hanging="1285" w:hangingChars="400"/>
        <w:rPr>
          <w:rFonts w:ascii="仿宋" w:hAnsi="仿宋" w:eastAsia="仿宋" w:cs="仿宋"/>
          <w:b/>
          <w:color w:val="auto"/>
          <w:sz w:val="32"/>
          <w:szCs w:val="32"/>
        </w:rPr>
      </w:pPr>
      <w:r>
        <w:rPr>
          <w:rFonts w:hint="eastAsia" w:ascii="仿宋" w:hAnsi="仿宋" w:eastAsia="仿宋" w:cs="仿宋"/>
          <w:b/>
          <w:color w:val="auto"/>
          <w:sz w:val="32"/>
          <w:szCs w:val="32"/>
        </w:rPr>
        <w:t>采</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购</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人：富顺县中医医院</w:t>
      </w:r>
    </w:p>
    <w:p>
      <w:pPr>
        <w:spacing w:line="360" w:lineRule="auto"/>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采购代理机构：四川久润招投标代理有限公司</w:t>
      </w:r>
    </w:p>
    <w:p>
      <w:pPr>
        <w:spacing w:line="360" w:lineRule="auto"/>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文  件 编 制：采购人与采购代理机构共同编制</w:t>
      </w:r>
    </w:p>
    <w:p>
      <w:pPr>
        <w:tabs>
          <w:tab w:val="left" w:pos="7035"/>
        </w:tabs>
        <w:spacing w:after="60" w:line="360" w:lineRule="auto"/>
        <w:jc w:val="center"/>
        <w:rPr>
          <w:rFonts w:ascii="仿宋" w:hAnsi="仿宋" w:eastAsia="仿宋" w:cs="仿宋"/>
          <w:b/>
          <w:color w:val="auto"/>
          <w:spacing w:val="16"/>
          <w:sz w:val="32"/>
          <w:szCs w:val="32"/>
        </w:rPr>
      </w:pPr>
    </w:p>
    <w:p>
      <w:pPr>
        <w:tabs>
          <w:tab w:val="left" w:pos="7035"/>
        </w:tabs>
        <w:spacing w:after="60" w:line="360" w:lineRule="auto"/>
        <w:jc w:val="center"/>
        <w:rPr>
          <w:rFonts w:ascii="仿宋" w:hAnsi="仿宋" w:eastAsia="仿宋" w:cs="仿宋"/>
          <w:b/>
          <w:color w:val="auto"/>
          <w:spacing w:val="16"/>
          <w:sz w:val="32"/>
          <w:szCs w:val="32"/>
        </w:rPr>
      </w:pPr>
      <w:r>
        <w:rPr>
          <w:rFonts w:hint="eastAsia" w:ascii="仿宋" w:hAnsi="仿宋" w:eastAsia="仿宋" w:cs="仿宋"/>
          <w:b/>
          <w:color w:val="auto"/>
          <w:spacing w:val="16"/>
          <w:sz w:val="32"/>
          <w:szCs w:val="32"/>
        </w:rPr>
        <w:t>四川·自贡</w:t>
      </w:r>
    </w:p>
    <w:p>
      <w:pPr>
        <w:tabs>
          <w:tab w:val="left" w:pos="7035"/>
        </w:tabs>
        <w:spacing w:after="60" w:line="360" w:lineRule="auto"/>
        <w:jc w:val="center"/>
        <w:rPr>
          <w:rFonts w:ascii="仿宋" w:hAnsi="仿宋" w:eastAsia="仿宋" w:cs="仿宋"/>
          <w:b/>
          <w:color w:val="auto"/>
          <w:spacing w:val="16"/>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440" w:right="1173" w:bottom="1440" w:left="1074" w:header="851" w:footer="992" w:gutter="0"/>
          <w:pgNumType w:fmt="numberInDash" w:start="1"/>
          <w:cols w:space="720" w:num="1"/>
          <w:titlePg/>
          <w:docGrid w:linePitch="312" w:charSpace="0"/>
        </w:sectPr>
      </w:pPr>
      <w:r>
        <w:rPr>
          <w:rFonts w:hint="eastAsia" w:ascii="仿宋" w:hAnsi="仿宋" w:eastAsia="仿宋" w:cs="仿宋"/>
          <w:b/>
          <w:color w:val="auto"/>
          <w:sz w:val="32"/>
          <w:szCs w:val="32"/>
        </w:rPr>
        <w:t>二〇二四年六月</w:t>
      </w:r>
    </w:p>
    <w:p>
      <w:pPr>
        <w:tabs>
          <w:tab w:val="left" w:leader="dot" w:pos="7980"/>
        </w:tabs>
        <w:spacing w:line="600" w:lineRule="auto"/>
        <w:jc w:val="left"/>
        <w:rPr>
          <w:color w:val="auto"/>
        </w:rPr>
      </w:pPr>
      <w:bookmarkStart w:id="0" w:name="_Toc22311"/>
      <w:bookmarkStart w:id="1" w:name="_Toc31928"/>
      <w:bookmarkStart w:id="2" w:name="_Toc17411"/>
      <w:bookmarkStart w:id="3" w:name="_Toc15228"/>
    </w:p>
    <w:sdt>
      <w:sdtPr>
        <w:rPr>
          <w:rFonts w:hint="eastAsia" w:ascii="仿宋" w:hAnsi="仿宋" w:eastAsia="仿宋" w:cs="仿宋"/>
          <w:b/>
          <w:color w:val="auto"/>
          <w:spacing w:val="16"/>
          <w:sz w:val="44"/>
          <w:szCs w:val="44"/>
        </w:rPr>
        <w:id w:val="147457502"/>
        <w:docPartObj>
          <w:docPartGallery w:val="Table of Contents"/>
          <w:docPartUnique/>
        </w:docPartObj>
      </w:sdtPr>
      <w:sdtEndPr>
        <w:rPr>
          <w:rFonts w:hint="eastAsia" w:ascii="仿宋" w:hAnsi="仿宋" w:eastAsia="仿宋" w:cs="仿宋"/>
          <w:b/>
          <w:color w:val="auto"/>
          <w:spacing w:val="16"/>
          <w:sz w:val="28"/>
          <w:szCs w:val="28"/>
        </w:rPr>
      </w:sdtEndPr>
      <w:sdtContent>
        <w:p>
          <w:pPr>
            <w:tabs>
              <w:tab w:val="left" w:pos="7035"/>
            </w:tabs>
            <w:jc w:val="center"/>
            <w:rPr>
              <w:rFonts w:ascii="仿宋" w:hAnsi="仿宋" w:eastAsia="仿宋" w:cs="仿宋"/>
              <w:b/>
              <w:color w:val="auto"/>
              <w:spacing w:val="16"/>
              <w:sz w:val="44"/>
              <w:szCs w:val="44"/>
            </w:rPr>
          </w:pPr>
          <w:r>
            <w:rPr>
              <w:rFonts w:hint="eastAsia" w:ascii="仿宋" w:hAnsi="仿宋" w:eastAsia="仿宋" w:cs="仿宋"/>
              <w:b/>
              <w:color w:val="auto"/>
              <w:spacing w:val="16"/>
              <w:sz w:val="44"/>
              <w:szCs w:val="44"/>
            </w:rPr>
            <w:t>目录</w:t>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
              <w:bCs/>
              <w:color w:val="auto"/>
              <w:spacing w:val="-2"/>
              <w:sz w:val="28"/>
              <w:szCs w:val="28"/>
            </w:rPr>
            <w:fldChar w:fldCharType="begin"/>
          </w:r>
          <w:r>
            <w:rPr>
              <w:rFonts w:ascii="仿宋" w:hAnsi="仿宋" w:eastAsia="仿宋" w:cs="仿宋"/>
              <w:b/>
              <w:bCs/>
              <w:color w:val="auto"/>
              <w:spacing w:val="-2"/>
              <w:sz w:val="28"/>
              <w:szCs w:val="28"/>
            </w:rPr>
            <w:instrText xml:space="preserve">TOC \o "1-1" \h \u </w:instrText>
          </w:r>
          <w:r>
            <w:rPr>
              <w:rFonts w:ascii="仿宋" w:hAnsi="仿宋" w:eastAsia="仿宋" w:cs="仿宋"/>
              <w:b/>
              <w:bCs/>
              <w:color w:val="auto"/>
              <w:spacing w:val="-2"/>
              <w:sz w:val="28"/>
              <w:szCs w:val="28"/>
            </w:rPr>
            <w:fldChar w:fldCharType="separate"/>
          </w: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_Toc9930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pacing w:val="-2"/>
              <w:sz w:val="28"/>
              <w:szCs w:val="28"/>
            </w:rPr>
            <w:t>第一章谈判邀请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_Toc9930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_Toc2195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pacing w:val="-2"/>
              <w:sz w:val="28"/>
              <w:szCs w:val="28"/>
            </w:rPr>
            <w:t>第二章供应商谈判须知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_Toc2195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_Toc11322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z w:val="28"/>
              <w:szCs w:val="28"/>
            </w:rPr>
            <w:t>第三章供应商的资格条件要求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_Toc11322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_Toc22893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z w:val="28"/>
              <w:szCs w:val="28"/>
            </w:rPr>
            <w:t>第四章 供应商应当提供的资格证明材料</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_Toc22893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_Toc28624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z w:val="28"/>
              <w:szCs w:val="28"/>
            </w:rPr>
            <w:t>第五章 采购项目内容及商务要求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_Toc28624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_Toc24419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z w:val="28"/>
              <w:szCs w:val="28"/>
            </w:rPr>
            <w:t>第六章 谈判内容、谈判过程中可能实质性变动的内容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_Toc24419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_Toc4706 </w:instrText>
          </w:r>
          <w:r>
            <w:rPr>
              <w:rFonts w:ascii="仿宋" w:hAnsi="仿宋" w:eastAsia="仿宋" w:cs="仿宋"/>
              <w:bCs/>
              <w:color w:val="auto"/>
              <w:spacing w:val="-2"/>
              <w:sz w:val="28"/>
              <w:szCs w:val="28"/>
            </w:rPr>
            <w:fldChar w:fldCharType="separate"/>
          </w:r>
          <w:r>
            <w:rPr>
              <w:rFonts w:hint="eastAsia" w:ascii="仿宋" w:hAnsi="仿宋" w:eastAsia="仿宋" w:cs="仿宋"/>
              <w:bCs/>
              <w:color w:val="auto"/>
              <w:sz w:val="28"/>
              <w:szCs w:val="28"/>
            </w:rPr>
            <w:t>第七章响应文件主要格式要求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_Toc4706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57</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_Toc26224 </w:instrText>
          </w:r>
          <w:r>
            <w:rPr>
              <w:rFonts w:ascii="仿宋" w:hAnsi="仿宋" w:eastAsia="仿宋" w:cs="仿宋"/>
              <w:bCs/>
              <w:color w:val="auto"/>
              <w:spacing w:val="-2"/>
              <w:sz w:val="28"/>
              <w:szCs w:val="28"/>
            </w:rPr>
            <w:fldChar w:fldCharType="separate"/>
          </w:r>
          <w:r>
            <w:rPr>
              <w:rFonts w:hint="eastAsia" w:ascii="仿宋" w:hAnsi="仿宋" w:eastAsia="仿宋" w:cs="仿宋"/>
              <w:color w:val="auto"/>
              <w:sz w:val="28"/>
              <w:szCs w:val="28"/>
            </w:rPr>
            <w:t>第八章 评审办法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_Toc26224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94</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_Toc3219 </w:instrText>
          </w:r>
          <w:r>
            <w:rPr>
              <w:rFonts w:ascii="仿宋" w:hAnsi="仿宋" w:eastAsia="仿宋" w:cs="仿宋"/>
              <w:bCs/>
              <w:color w:val="auto"/>
              <w:spacing w:val="-2"/>
              <w:sz w:val="28"/>
              <w:szCs w:val="28"/>
            </w:rPr>
            <w:fldChar w:fldCharType="separate"/>
          </w:r>
          <w:r>
            <w:rPr>
              <w:rFonts w:hint="eastAsia" w:ascii="仿宋" w:hAnsi="仿宋" w:eastAsia="仿宋" w:cs="仿宋"/>
              <w:color w:val="auto"/>
              <w:sz w:val="28"/>
              <w:szCs w:val="28"/>
            </w:rPr>
            <w:t>第九章 采购合同（样例）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_Toc3219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102</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pStyle w:val="23"/>
            <w:tabs>
              <w:tab w:val="right" w:leader="dot" w:pos="8955"/>
            </w:tabs>
            <w:spacing w:line="480" w:lineRule="auto"/>
            <w:rPr>
              <w:rFonts w:ascii="仿宋" w:hAnsi="仿宋" w:eastAsia="仿宋" w:cs="仿宋"/>
              <w:color w:val="auto"/>
              <w:sz w:val="28"/>
              <w:szCs w:val="28"/>
            </w:rPr>
          </w:pPr>
          <w:r>
            <w:rPr>
              <w:rFonts w:ascii="仿宋" w:hAnsi="仿宋" w:eastAsia="仿宋" w:cs="仿宋"/>
              <w:bCs/>
              <w:color w:val="auto"/>
              <w:spacing w:val="-2"/>
              <w:sz w:val="28"/>
              <w:szCs w:val="28"/>
            </w:rPr>
            <w:fldChar w:fldCharType="begin"/>
          </w:r>
          <w:r>
            <w:rPr>
              <w:rFonts w:ascii="仿宋" w:hAnsi="仿宋" w:eastAsia="仿宋" w:cs="仿宋"/>
              <w:bCs/>
              <w:color w:val="auto"/>
              <w:spacing w:val="-2"/>
              <w:sz w:val="28"/>
              <w:szCs w:val="28"/>
            </w:rPr>
            <w:instrText xml:space="preserve"> HYPERLINK \l _Toc14066 </w:instrText>
          </w:r>
          <w:r>
            <w:rPr>
              <w:rFonts w:ascii="仿宋" w:hAnsi="仿宋" w:eastAsia="仿宋" w:cs="仿宋"/>
              <w:bCs/>
              <w:color w:val="auto"/>
              <w:spacing w:val="-2"/>
              <w:sz w:val="28"/>
              <w:szCs w:val="28"/>
            </w:rPr>
            <w:fldChar w:fldCharType="separate"/>
          </w:r>
          <w:r>
            <w:rPr>
              <w:rFonts w:hint="eastAsia" w:ascii="仿宋" w:hAnsi="仿宋" w:eastAsia="仿宋" w:cs="仿宋"/>
              <w:color w:val="auto"/>
              <w:sz w:val="28"/>
              <w:szCs w:val="28"/>
            </w:rPr>
            <w:t>第十章 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_Toc14066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106</w:t>
          </w:r>
          <w:r>
            <w:rPr>
              <w:rFonts w:hint="eastAsia" w:ascii="仿宋" w:hAnsi="仿宋" w:eastAsia="仿宋" w:cs="仿宋"/>
              <w:color w:val="auto"/>
              <w:sz w:val="28"/>
              <w:szCs w:val="28"/>
            </w:rPr>
            <w:fldChar w:fldCharType="end"/>
          </w:r>
          <w:r>
            <w:rPr>
              <w:rFonts w:ascii="仿宋" w:hAnsi="仿宋" w:eastAsia="仿宋" w:cs="仿宋"/>
              <w:bCs/>
              <w:color w:val="auto"/>
              <w:spacing w:val="-2"/>
              <w:sz w:val="28"/>
              <w:szCs w:val="28"/>
            </w:rPr>
            <w:fldChar w:fldCharType="end"/>
          </w:r>
        </w:p>
        <w:p>
          <w:pPr>
            <w:spacing w:line="480" w:lineRule="auto"/>
            <w:jc w:val="left"/>
            <w:rPr>
              <w:rFonts w:hint="eastAsia" w:ascii="仿宋" w:hAnsi="仿宋" w:eastAsia="仿宋" w:cs="仿宋"/>
              <w:b/>
              <w:color w:val="auto"/>
              <w:spacing w:val="16"/>
              <w:sz w:val="28"/>
              <w:szCs w:val="28"/>
            </w:rPr>
          </w:pPr>
          <w:r>
            <w:rPr>
              <w:rFonts w:ascii="仿宋" w:hAnsi="仿宋" w:eastAsia="仿宋" w:cs="仿宋"/>
              <w:bCs/>
              <w:color w:val="auto"/>
              <w:spacing w:val="-2"/>
              <w:sz w:val="28"/>
              <w:szCs w:val="28"/>
            </w:rPr>
            <w:fldChar w:fldCharType="end"/>
          </w:r>
        </w:p>
      </w:sdtContent>
    </w:sdt>
    <w:p>
      <w:pPr>
        <w:rPr>
          <w:rFonts w:ascii="Times New Roman" w:hAnsi="Times New Roman"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tabs>
          <w:tab w:val="left" w:pos="6500"/>
        </w:tabs>
        <w:jc w:val="left"/>
        <w:rPr>
          <w:lang w:val="en-US" w:eastAsia="zh-CN"/>
        </w:rPr>
        <w:sectPr>
          <w:footerReference r:id="rId10" w:type="first"/>
          <w:footerReference r:id="rId9" w:type="default"/>
          <w:pgSz w:w="11850" w:h="16783"/>
          <w:pgMar w:top="1440" w:right="1395" w:bottom="1440" w:left="1500" w:header="851" w:footer="992" w:gutter="0"/>
          <w:pgNumType w:fmt="upperRoman" w:start="1"/>
          <w:cols w:space="720" w:num="1"/>
          <w:docGrid w:linePitch="312" w:charSpace="0"/>
        </w:sectPr>
      </w:pPr>
      <w:r>
        <w:rPr>
          <w:rFonts w:hint="eastAsia"/>
          <w:lang w:val="en-US" w:eastAsia="zh-CN"/>
        </w:rPr>
        <w:tab/>
      </w:r>
    </w:p>
    <w:p>
      <w:pPr>
        <w:spacing w:beforeLines="50" w:afterLines="100"/>
        <w:jc w:val="center"/>
        <w:outlineLvl w:val="0"/>
        <w:rPr>
          <w:rFonts w:ascii="仿宋" w:hAnsi="仿宋" w:eastAsia="仿宋" w:cs="仿宋"/>
          <w:b/>
          <w:bCs/>
          <w:color w:val="auto"/>
          <w:spacing w:val="-2"/>
          <w:sz w:val="36"/>
          <w:szCs w:val="36"/>
        </w:rPr>
      </w:pPr>
      <w:bookmarkStart w:id="4" w:name="_Toc9930"/>
      <w:bookmarkStart w:id="5" w:name="_Toc12615"/>
      <w:r>
        <w:rPr>
          <w:rFonts w:hint="eastAsia" w:ascii="仿宋" w:hAnsi="仿宋" w:eastAsia="仿宋" w:cs="仿宋"/>
          <w:b/>
          <w:bCs/>
          <w:color w:val="auto"/>
          <w:spacing w:val="-2"/>
          <w:sz w:val="36"/>
          <w:szCs w:val="36"/>
        </w:rPr>
        <w:t>第一章</w:t>
      </w:r>
      <w:bookmarkStart w:id="6" w:name="_Toc203812309"/>
      <w:bookmarkStart w:id="7" w:name="_Toc200874607"/>
      <w:bookmarkStart w:id="8" w:name="_Toc226699473"/>
      <w:r>
        <w:rPr>
          <w:rFonts w:hint="eastAsia" w:ascii="仿宋" w:hAnsi="仿宋" w:eastAsia="仿宋" w:cs="仿宋"/>
          <w:b/>
          <w:bCs/>
          <w:color w:val="auto"/>
          <w:spacing w:val="-2"/>
          <w:sz w:val="36"/>
          <w:szCs w:val="36"/>
        </w:rPr>
        <w:t>谈判邀请</w:t>
      </w:r>
      <w:bookmarkEnd w:id="0"/>
      <w:bookmarkEnd w:id="1"/>
      <w:bookmarkEnd w:id="2"/>
      <w:bookmarkEnd w:id="3"/>
      <w:bookmarkEnd w:id="4"/>
      <w:bookmarkEnd w:id="5"/>
    </w:p>
    <w:bookmarkEnd w:id="6"/>
    <w:bookmarkEnd w:id="7"/>
    <w:bookmarkEnd w:id="8"/>
    <w:p>
      <w:pPr>
        <w:pStyle w:val="117"/>
        <w:spacing w:line="360" w:lineRule="auto"/>
        <w:ind w:firstLine="493" w:firstLineChars="209"/>
        <w:rPr>
          <w:rFonts w:ascii="仿宋" w:hAnsi="仿宋" w:eastAsia="仿宋" w:cs="仿宋"/>
          <w:bCs/>
          <w:color w:val="auto"/>
          <w:spacing w:val="-2"/>
          <w:sz w:val="24"/>
        </w:rPr>
      </w:pPr>
      <w:bookmarkStart w:id="9" w:name="OLE_LINK8"/>
      <w:bookmarkStart w:id="10" w:name="OLE_LINK23"/>
      <w:bookmarkStart w:id="11" w:name="OLE_LINK16"/>
      <w:r>
        <w:rPr>
          <w:rFonts w:hint="eastAsia" w:ascii="仿宋" w:hAnsi="仿宋" w:eastAsia="仿宋" w:cs="仿宋"/>
          <w:color w:val="auto"/>
          <w:spacing w:val="-2"/>
          <w:sz w:val="24"/>
          <w:u w:val="single"/>
        </w:rPr>
        <w:t>四川久润招投标代理有限公司</w:t>
      </w:r>
      <w:r>
        <w:rPr>
          <w:rFonts w:hint="eastAsia" w:ascii="仿宋" w:hAnsi="仿宋" w:eastAsia="仿宋" w:cs="仿宋"/>
          <w:color w:val="auto"/>
          <w:spacing w:val="-2"/>
          <w:sz w:val="24"/>
        </w:rPr>
        <w:t>受</w:t>
      </w:r>
      <w:r>
        <w:rPr>
          <w:rFonts w:hint="eastAsia" w:ascii="仿宋" w:hAnsi="仿宋" w:eastAsia="仿宋" w:cs="仿宋"/>
          <w:color w:val="auto"/>
          <w:spacing w:val="-2"/>
          <w:sz w:val="24"/>
          <w:u w:val="single"/>
        </w:rPr>
        <w:t>富顺县中医医院</w:t>
      </w:r>
      <w:r>
        <w:rPr>
          <w:rFonts w:hint="eastAsia" w:ascii="仿宋" w:hAnsi="仿宋" w:eastAsia="仿宋" w:cs="仿宋"/>
          <w:color w:val="auto"/>
          <w:spacing w:val="-2"/>
          <w:sz w:val="24"/>
        </w:rPr>
        <w:t>委托，就批准实施</w:t>
      </w:r>
      <w:r>
        <w:rPr>
          <w:rFonts w:hint="eastAsia" w:ascii="仿宋" w:hAnsi="仿宋" w:eastAsia="仿宋" w:cs="仿宋"/>
          <w:color w:val="auto"/>
          <w:spacing w:val="-2"/>
          <w:sz w:val="24"/>
          <w:u w:val="single"/>
        </w:rPr>
        <w:t>富顺县中医医院全院中央空调、手术室洁净空调、精密空调、净化设备、新风设备等维保服务采购项目</w:t>
      </w:r>
      <w:r>
        <w:rPr>
          <w:rFonts w:hint="eastAsia" w:ascii="仿宋" w:hAnsi="仿宋" w:eastAsia="仿宋" w:cs="仿宋"/>
          <w:color w:val="auto"/>
          <w:spacing w:val="-2"/>
          <w:sz w:val="24"/>
        </w:rPr>
        <w:t>进行竞争性谈判</w:t>
      </w:r>
      <w:r>
        <w:rPr>
          <w:rFonts w:hint="eastAsia" w:ascii="仿宋" w:hAnsi="仿宋" w:eastAsia="仿宋" w:cs="仿宋"/>
          <w:bCs/>
          <w:color w:val="auto"/>
          <w:spacing w:val="-2"/>
          <w:sz w:val="24"/>
        </w:rPr>
        <w:t>，</w:t>
      </w:r>
      <w:r>
        <w:rPr>
          <w:rFonts w:hint="eastAsia" w:ascii="仿宋" w:hAnsi="仿宋" w:eastAsia="仿宋" w:cs="仿宋"/>
          <w:color w:val="auto"/>
          <w:spacing w:val="-2"/>
          <w:sz w:val="24"/>
        </w:rPr>
        <w:t>现邀请符合本次采购要求的供应商参加谈</w:t>
      </w:r>
      <w:r>
        <w:rPr>
          <w:rFonts w:hint="eastAsia" w:ascii="仿宋" w:hAnsi="仿宋" w:eastAsia="仿宋" w:cs="仿宋"/>
          <w:bCs/>
          <w:color w:val="auto"/>
          <w:spacing w:val="-2"/>
          <w:sz w:val="24"/>
        </w:rPr>
        <w:t>判。</w:t>
      </w:r>
    </w:p>
    <w:p>
      <w:pPr>
        <w:pStyle w:val="2"/>
        <w:spacing w:line="360" w:lineRule="auto"/>
        <w:rPr>
          <w:color w:val="auto"/>
          <w:sz w:val="24"/>
        </w:rPr>
      </w:pPr>
    </w:p>
    <w:p>
      <w:pPr>
        <w:spacing w:line="360" w:lineRule="auto"/>
        <w:ind w:firstLine="474" w:firstLineChars="200"/>
        <w:outlineLvl w:val="1"/>
        <w:rPr>
          <w:color w:val="auto"/>
          <w:sz w:val="24"/>
        </w:rPr>
      </w:pPr>
      <w:r>
        <w:rPr>
          <w:rFonts w:hint="eastAsia" w:ascii="仿宋" w:hAnsi="仿宋" w:eastAsia="仿宋"/>
          <w:b/>
          <w:color w:val="auto"/>
          <w:spacing w:val="-2"/>
          <w:sz w:val="24"/>
        </w:rPr>
        <w:t>一、采购项目基本情况介绍</w:t>
      </w:r>
    </w:p>
    <w:p>
      <w:pPr>
        <w:spacing w:line="360" w:lineRule="auto"/>
        <w:ind w:left="2204" w:leftChars="228" w:hanging="1725" w:hangingChars="731"/>
        <w:rPr>
          <w:rFonts w:ascii="仿宋" w:hAnsi="仿宋" w:eastAsia="仿宋" w:cs="仿宋"/>
          <w:bCs/>
          <w:color w:val="auto"/>
          <w:spacing w:val="-2"/>
          <w:sz w:val="24"/>
        </w:rPr>
      </w:pPr>
      <w:r>
        <w:rPr>
          <w:rFonts w:hint="eastAsia" w:ascii="仿宋" w:hAnsi="仿宋" w:eastAsia="仿宋" w:cs="仿宋"/>
          <w:bCs/>
          <w:color w:val="auto"/>
          <w:spacing w:val="-2"/>
          <w:sz w:val="24"/>
        </w:rPr>
        <w:t>1.1 项目名称：富顺县中医医院全院中央空调、手术室洁净空调、精密空调、净化设备、新风设备等维保服务采购项目</w:t>
      </w:r>
    </w:p>
    <w:p>
      <w:pPr>
        <w:spacing w:line="360" w:lineRule="auto"/>
        <w:ind w:left="479" w:leftChars="228"/>
        <w:rPr>
          <w:rFonts w:ascii="仿宋" w:hAnsi="仿宋" w:eastAsia="仿宋" w:cs="仿宋"/>
          <w:bCs/>
          <w:color w:val="auto"/>
          <w:spacing w:val="-2"/>
          <w:sz w:val="24"/>
        </w:rPr>
      </w:pPr>
      <w:r>
        <w:rPr>
          <w:rFonts w:hint="eastAsia" w:ascii="仿宋" w:hAnsi="仿宋" w:eastAsia="仿宋" w:cs="仿宋"/>
          <w:bCs/>
          <w:color w:val="auto"/>
          <w:spacing w:val="-2"/>
          <w:sz w:val="24"/>
        </w:rPr>
        <w:t>1.2 项目编号：JRZB-2024-Q084</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1.3 资金来源：自筹资金</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1.4 预算金额：285000.00元</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1.5 采购属性：服务类</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1.6 项目内容：详细内容见第五章</w:t>
      </w:r>
    </w:p>
    <w:p>
      <w:pPr>
        <w:pStyle w:val="2"/>
        <w:spacing w:line="360" w:lineRule="auto"/>
        <w:rPr>
          <w:color w:val="auto"/>
          <w:sz w:val="24"/>
        </w:rPr>
      </w:pPr>
    </w:p>
    <w:p>
      <w:pPr>
        <w:spacing w:line="360" w:lineRule="auto"/>
        <w:ind w:firstLine="474" w:firstLineChars="200"/>
        <w:outlineLvl w:val="1"/>
        <w:rPr>
          <w:color w:val="auto"/>
          <w:sz w:val="24"/>
        </w:rPr>
      </w:pPr>
      <w:r>
        <w:rPr>
          <w:rFonts w:hint="eastAsia" w:ascii="仿宋" w:hAnsi="仿宋" w:eastAsia="仿宋"/>
          <w:b/>
          <w:color w:val="auto"/>
          <w:spacing w:val="-2"/>
          <w:sz w:val="24"/>
        </w:rPr>
        <w:t>二、供应商参加本次政府采购活动应具备的条件、</w:t>
      </w:r>
      <w:r>
        <w:rPr>
          <w:rFonts w:hint="eastAsia" w:ascii="仿宋" w:hAnsi="仿宋" w:eastAsia="仿宋"/>
          <w:b/>
          <w:color w:val="auto"/>
          <w:sz w:val="24"/>
        </w:rPr>
        <w:t>邀请方式</w:t>
      </w:r>
    </w:p>
    <w:p>
      <w:pPr>
        <w:spacing w:line="360" w:lineRule="auto"/>
        <w:ind w:firstLine="473"/>
        <w:rPr>
          <w:rFonts w:ascii="仿宋" w:hAnsi="仿宋" w:eastAsia="仿宋" w:cs="仿宋"/>
          <w:bCs/>
          <w:color w:val="auto"/>
          <w:sz w:val="24"/>
        </w:rPr>
      </w:pPr>
      <w:r>
        <w:rPr>
          <w:rFonts w:hint="eastAsia" w:ascii="仿宋" w:hAnsi="仿宋" w:eastAsia="仿宋" w:cs="仿宋"/>
          <w:bCs/>
          <w:color w:val="auto"/>
          <w:spacing w:val="-2"/>
          <w:sz w:val="24"/>
        </w:rPr>
        <w:t>2.1 供应商应具备的条件：</w:t>
      </w:r>
      <w:r>
        <w:rPr>
          <w:rFonts w:hint="eastAsia" w:ascii="仿宋" w:hAnsi="仿宋" w:eastAsia="仿宋" w:cs="仿宋"/>
          <w:bCs/>
          <w:color w:val="auto"/>
          <w:sz w:val="24"/>
        </w:rPr>
        <w:t>详细要求见谈判文件第三章。</w:t>
      </w:r>
    </w:p>
    <w:p>
      <w:pPr>
        <w:wordWrap w:val="0"/>
        <w:spacing w:line="360" w:lineRule="auto"/>
        <w:ind w:left="951" w:leftChars="228" w:hanging="472" w:hangingChars="200"/>
        <w:rPr>
          <w:rFonts w:ascii="仿宋" w:hAnsi="仿宋" w:eastAsia="仿宋" w:cs="仿宋"/>
          <w:bCs/>
          <w:color w:val="auto"/>
          <w:spacing w:val="2"/>
          <w:sz w:val="24"/>
        </w:rPr>
      </w:pPr>
      <w:r>
        <w:rPr>
          <w:rFonts w:hint="eastAsia" w:ascii="仿宋" w:hAnsi="仿宋" w:eastAsia="仿宋"/>
          <w:color w:val="auto"/>
          <w:spacing w:val="-2"/>
          <w:sz w:val="24"/>
        </w:rPr>
        <w:t>2.2 供应商邀请方式：本次竞争性谈判邀请在四川招投标网（www.scbid.com）</w:t>
      </w:r>
      <w:r>
        <w:rPr>
          <w:rFonts w:hint="eastAsia" w:ascii="仿宋" w:hAnsi="仿宋" w:eastAsia="仿宋"/>
          <w:color w:val="auto"/>
          <w:spacing w:val="-2"/>
          <w:sz w:val="24"/>
          <w:lang w:val="zh-CN"/>
        </w:rPr>
        <w:t>上以公告形式发布</w:t>
      </w:r>
      <w:r>
        <w:rPr>
          <w:rFonts w:hint="eastAsia" w:ascii="仿宋" w:hAnsi="仿宋" w:eastAsia="仿宋" w:cs="仿宋"/>
          <w:bCs/>
          <w:color w:val="auto"/>
          <w:spacing w:val="2"/>
          <w:sz w:val="24"/>
          <w:lang w:val="zh-CN"/>
        </w:rPr>
        <w:t>。</w:t>
      </w:r>
    </w:p>
    <w:p>
      <w:pPr>
        <w:pStyle w:val="2"/>
        <w:spacing w:line="360" w:lineRule="auto"/>
        <w:rPr>
          <w:color w:val="auto"/>
          <w:sz w:val="24"/>
        </w:rPr>
      </w:pPr>
    </w:p>
    <w:p>
      <w:pPr>
        <w:pStyle w:val="87"/>
        <w:ind w:firstLine="480" w:firstLineChars="0"/>
        <w:outlineLvl w:val="1"/>
        <w:rPr>
          <w:rFonts w:ascii="仿宋" w:hAnsi="仿宋" w:eastAsia="仿宋"/>
          <w:color w:val="auto"/>
          <w:sz w:val="24"/>
          <w:szCs w:val="24"/>
        </w:rPr>
      </w:pPr>
      <w:r>
        <w:rPr>
          <w:rFonts w:hint="eastAsia" w:ascii="仿宋" w:hAnsi="仿宋" w:eastAsia="仿宋"/>
          <w:b/>
          <w:color w:val="auto"/>
          <w:sz w:val="24"/>
          <w:szCs w:val="24"/>
        </w:rPr>
        <w:t>三、获取采购文件的时间、地点、方式、售价及须提供的资料</w:t>
      </w:r>
    </w:p>
    <w:p>
      <w:pPr>
        <w:pStyle w:val="87"/>
        <w:ind w:left="959" w:leftChars="228" w:hanging="480" w:hangingChars="200"/>
        <w:rPr>
          <w:rFonts w:ascii="仿宋" w:hAnsi="仿宋" w:eastAsia="仿宋"/>
          <w:color w:val="auto"/>
          <w:sz w:val="24"/>
          <w:szCs w:val="24"/>
        </w:rPr>
      </w:pPr>
      <w:r>
        <w:rPr>
          <w:rFonts w:hint="eastAsia" w:ascii="仿宋" w:hAnsi="仿宋" w:eastAsia="仿宋"/>
          <w:color w:val="auto"/>
          <w:sz w:val="24"/>
          <w:szCs w:val="24"/>
        </w:rPr>
        <w:t>3.1 获取采购文件的时间：2024年6月</w:t>
      </w:r>
      <w:r>
        <w:rPr>
          <w:rFonts w:hint="eastAsia" w:ascii="仿宋" w:hAnsi="仿宋" w:eastAsia="仿宋"/>
          <w:color w:val="auto"/>
          <w:sz w:val="24"/>
          <w:szCs w:val="24"/>
          <w:lang w:val="en-US" w:eastAsia="zh-CN"/>
        </w:rPr>
        <w:t>13</w:t>
      </w:r>
      <w:r>
        <w:rPr>
          <w:rFonts w:hint="eastAsia" w:ascii="仿宋" w:hAnsi="仿宋" w:eastAsia="仿宋"/>
          <w:color w:val="auto"/>
          <w:sz w:val="24"/>
          <w:szCs w:val="24"/>
        </w:rPr>
        <w:t>日至2024年6月</w:t>
      </w:r>
      <w:r>
        <w:rPr>
          <w:rFonts w:hint="eastAsia" w:ascii="仿宋" w:hAnsi="仿宋" w:eastAsia="仿宋"/>
          <w:color w:val="auto"/>
          <w:sz w:val="24"/>
          <w:szCs w:val="24"/>
          <w:lang w:val="en-US" w:eastAsia="zh-CN"/>
        </w:rPr>
        <w:t>17</w:t>
      </w:r>
      <w:r>
        <w:rPr>
          <w:rFonts w:hint="eastAsia" w:ascii="仿宋" w:hAnsi="仿宋" w:eastAsia="仿宋"/>
          <w:color w:val="auto"/>
          <w:sz w:val="24"/>
          <w:szCs w:val="24"/>
        </w:rPr>
        <w:t>日上午09:00-12:00，下午14:00-17:00(北京时间，法定节假</w:t>
      </w:r>
      <w:r>
        <w:rPr>
          <w:rFonts w:hint="eastAsia" w:ascii="仿宋" w:hAnsi="仿宋" w:eastAsia="仿宋"/>
          <w:color w:val="auto"/>
          <w:spacing w:val="-2"/>
          <w:sz w:val="24"/>
          <w:szCs w:val="24"/>
        </w:rPr>
        <w:t>日除外)。</w:t>
      </w:r>
    </w:p>
    <w:p>
      <w:pPr>
        <w:spacing w:line="360" w:lineRule="auto"/>
        <w:ind w:left="959" w:leftChars="228" w:hanging="480" w:hangingChars="200"/>
        <w:rPr>
          <w:rFonts w:ascii="仿宋" w:hAnsi="仿宋" w:eastAsia="仿宋"/>
          <w:color w:val="auto"/>
          <w:sz w:val="24"/>
        </w:rPr>
      </w:pPr>
      <w:r>
        <w:rPr>
          <w:rFonts w:hint="eastAsia" w:ascii="仿宋" w:hAnsi="仿宋" w:eastAsia="仿宋"/>
          <w:color w:val="auto"/>
          <w:sz w:val="24"/>
        </w:rPr>
        <w:t>3.2 获取采购文件的地点：自贡市自流井区汇东丹桂大街蓝鹰海岸综合楼二楼四川久润</w:t>
      </w:r>
      <w:r>
        <w:rPr>
          <w:rFonts w:hint="eastAsia" w:ascii="仿宋" w:hAnsi="仿宋" w:eastAsia="仿宋"/>
          <w:color w:val="auto"/>
          <w:kern w:val="0"/>
          <w:sz w:val="24"/>
        </w:rPr>
        <w:t>招投标代理有限公司获取。</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3.3 获取采购文件的方式：</w:t>
      </w:r>
    </w:p>
    <w:p>
      <w:pPr>
        <w:spacing w:line="360" w:lineRule="auto"/>
        <w:ind w:firstLine="840" w:firstLineChars="350"/>
        <w:rPr>
          <w:rFonts w:ascii="仿宋" w:hAnsi="仿宋" w:eastAsia="仿宋"/>
          <w:color w:val="auto"/>
          <w:sz w:val="24"/>
        </w:rPr>
      </w:pPr>
      <w:r>
        <w:rPr>
          <w:rFonts w:hint="eastAsia" w:ascii="仿宋" w:hAnsi="仿宋" w:eastAsia="仿宋"/>
          <w:color w:val="auto"/>
          <w:sz w:val="24"/>
        </w:rPr>
        <w:t>（1）代理机构现场办理；</w:t>
      </w:r>
    </w:p>
    <w:p>
      <w:pPr>
        <w:spacing w:line="360" w:lineRule="auto"/>
        <w:ind w:left="957" w:leftChars="400" w:hanging="117" w:hangingChars="49"/>
        <w:rPr>
          <w:rFonts w:ascii="仿宋" w:hAnsi="仿宋" w:eastAsia="仿宋"/>
          <w:color w:val="auto"/>
          <w:sz w:val="24"/>
        </w:rPr>
      </w:pPr>
      <w:r>
        <w:rPr>
          <w:rStyle w:val="34"/>
          <w:rFonts w:hint="eastAsia" w:ascii="仿宋" w:hAnsi="仿宋" w:eastAsia="仿宋"/>
          <w:color w:val="auto"/>
          <w:sz w:val="24"/>
          <w:szCs w:val="24"/>
        </w:rPr>
        <w:t>（2）若需邮购，请将报名资料传至jrzb8222@126.com。</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注：采购文件售后不退，谈判资格不能转让。</w:t>
      </w:r>
    </w:p>
    <w:p>
      <w:pPr>
        <w:pStyle w:val="87"/>
        <w:ind w:firstLine="480" w:firstLineChars="0"/>
        <w:rPr>
          <w:rFonts w:ascii="仿宋" w:hAnsi="仿宋" w:eastAsia="仿宋"/>
          <w:color w:val="auto"/>
          <w:sz w:val="24"/>
          <w:szCs w:val="24"/>
        </w:rPr>
      </w:pPr>
      <w:r>
        <w:rPr>
          <w:rFonts w:hint="eastAsia" w:ascii="仿宋" w:hAnsi="仿宋" w:eastAsia="仿宋"/>
          <w:color w:val="auto"/>
          <w:sz w:val="24"/>
          <w:szCs w:val="24"/>
        </w:rPr>
        <w:t>3.4 获取采购文件的售价：0.00元/份。</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3.5 获取采购文件时，须提供以下资料</w:t>
      </w:r>
      <w:r>
        <w:rPr>
          <w:rFonts w:hint="eastAsia" w:ascii="仿宋" w:hAnsi="仿宋" w:eastAsia="仿宋"/>
          <w:b/>
          <w:color w:val="auto"/>
          <w:sz w:val="24"/>
        </w:rPr>
        <w:t>：</w:t>
      </w:r>
    </w:p>
    <w:p>
      <w:pPr>
        <w:pStyle w:val="2"/>
        <w:spacing w:line="360" w:lineRule="auto"/>
        <w:ind w:left="448" w:firstLine="480" w:firstLineChars="200"/>
        <w:rPr>
          <w:rFonts w:ascii="仿宋" w:hAnsi="仿宋" w:eastAsia="仿宋"/>
          <w:color w:val="auto"/>
          <w:sz w:val="24"/>
        </w:rPr>
      </w:pPr>
      <w:r>
        <w:rPr>
          <w:rFonts w:hint="eastAsia" w:ascii="仿宋" w:hAnsi="仿宋" w:eastAsia="仿宋"/>
          <w:color w:val="auto"/>
          <w:sz w:val="24"/>
        </w:rPr>
        <w:t>（1）单位介绍信加盖公章；</w:t>
      </w:r>
    </w:p>
    <w:p>
      <w:pPr>
        <w:pStyle w:val="2"/>
        <w:spacing w:line="360" w:lineRule="auto"/>
        <w:ind w:left="448" w:firstLine="480" w:firstLineChars="200"/>
        <w:rPr>
          <w:rFonts w:ascii="仿宋" w:hAnsi="仿宋" w:eastAsia="仿宋"/>
          <w:color w:val="auto"/>
          <w:sz w:val="24"/>
        </w:rPr>
      </w:pPr>
      <w:r>
        <w:rPr>
          <w:rFonts w:hint="eastAsia" w:ascii="仿宋" w:hAnsi="仿宋" w:eastAsia="仿宋"/>
          <w:color w:val="auto"/>
          <w:sz w:val="24"/>
        </w:rPr>
        <w:t>（2）经办人身份证影印件加盖公章；</w:t>
      </w:r>
    </w:p>
    <w:p>
      <w:pPr>
        <w:pStyle w:val="87"/>
        <w:ind w:firstLine="960" w:firstLineChars="400"/>
        <w:rPr>
          <w:rFonts w:ascii="仿宋" w:hAnsi="仿宋" w:eastAsia="仿宋"/>
          <w:color w:val="auto"/>
          <w:sz w:val="24"/>
          <w:szCs w:val="24"/>
        </w:rPr>
      </w:pPr>
      <w:r>
        <w:rPr>
          <w:rFonts w:hint="eastAsia" w:ascii="仿宋" w:hAnsi="仿宋" w:eastAsia="仿宋"/>
          <w:color w:val="auto"/>
          <w:sz w:val="24"/>
          <w:szCs w:val="24"/>
        </w:rPr>
        <w:t>（3）供应商报名登记表加盖公章。</w:t>
      </w:r>
    </w:p>
    <w:p>
      <w:pPr>
        <w:pStyle w:val="2"/>
        <w:spacing w:line="360" w:lineRule="auto"/>
        <w:rPr>
          <w:color w:val="auto"/>
          <w:sz w:val="24"/>
        </w:rPr>
      </w:pPr>
    </w:p>
    <w:p>
      <w:pPr>
        <w:pStyle w:val="87"/>
        <w:ind w:firstLine="480" w:firstLineChars="0"/>
        <w:outlineLvl w:val="1"/>
        <w:rPr>
          <w:rFonts w:ascii="仿宋" w:hAnsi="仿宋" w:eastAsia="仿宋"/>
          <w:b/>
          <w:color w:val="auto"/>
          <w:sz w:val="24"/>
          <w:szCs w:val="24"/>
        </w:rPr>
      </w:pPr>
      <w:r>
        <w:rPr>
          <w:rFonts w:hint="eastAsia" w:ascii="仿宋" w:hAnsi="仿宋" w:eastAsia="仿宋"/>
          <w:b/>
          <w:color w:val="auto"/>
          <w:sz w:val="24"/>
          <w:szCs w:val="24"/>
        </w:rPr>
        <w:t>四、响应文件的递交时间、地点和接收</w:t>
      </w:r>
    </w:p>
    <w:p>
      <w:pPr>
        <w:pStyle w:val="87"/>
        <w:ind w:firstLine="480" w:firstLineChars="0"/>
        <w:rPr>
          <w:rFonts w:ascii="仿宋" w:hAnsi="仿宋" w:eastAsia="仿宋"/>
          <w:color w:val="auto"/>
          <w:sz w:val="24"/>
          <w:szCs w:val="24"/>
        </w:rPr>
      </w:pPr>
      <w:r>
        <w:rPr>
          <w:rFonts w:hint="eastAsia" w:ascii="仿宋" w:hAnsi="仿宋" w:eastAsia="仿宋"/>
          <w:color w:val="auto"/>
          <w:sz w:val="24"/>
          <w:szCs w:val="24"/>
        </w:rPr>
        <w:t>4.1 响应文件的递交时间：</w:t>
      </w:r>
      <w:r>
        <w:rPr>
          <w:rFonts w:hint="eastAsia" w:ascii="仿宋" w:hAnsi="仿宋" w:eastAsia="仿宋"/>
          <w:b/>
          <w:color w:val="auto"/>
          <w:sz w:val="24"/>
        </w:rPr>
        <w:t>2024年6月</w:t>
      </w:r>
      <w:r>
        <w:rPr>
          <w:rFonts w:hint="eastAsia" w:ascii="仿宋" w:hAnsi="仿宋" w:eastAsia="仿宋"/>
          <w:b/>
          <w:color w:val="auto"/>
          <w:sz w:val="24"/>
          <w:lang w:val="en-US" w:eastAsia="zh-CN"/>
        </w:rPr>
        <w:t>19</w:t>
      </w:r>
      <w:r>
        <w:rPr>
          <w:rFonts w:hint="eastAsia" w:ascii="仿宋" w:hAnsi="仿宋" w:eastAsia="仿宋"/>
          <w:b/>
          <w:color w:val="auto"/>
          <w:sz w:val="24"/>
        </w:rPr>
        <w:t>日09:30-10:00（北京时间）。</w:t>
      </w:r>
    </w:p>
    <w:p>
      <w:pPr>
        <w:spacing w:line="360" w:lineRule="auto"/>
        <w:ind w:left="959" w:leftChars="228" w:hanging="480" w:hangingChars="200"/>
        <w:rPr>
          <w:rFonts w:ascii="仿宋" w:hAnsi="仿宋" w:eastAsia="仿宋"/>
          <w:color w:val="auto"/>
          <w:sz w:val="24"/>
        </w:rPr>
      </w:pPr>
      <w:r>
        <w:rPr>
          <w:rFonts w:hint="eastAsia" w:ascii="仿宋" w:hAnsi="仿宋" w:eastAsia="仿宋"/>
          <w:color w:val="auto"/>
          <w:sz w:val="24"/>
        </w:rPr>
        <w:t>4.2 响应文件的递交地点：自贡市自流井区汇东丹桂大街蓝鹰海岸综合楼二楼四川久润招投标代理有限公司开标3厅。</w:t>
      </w:r>
    </w:p>
    <w:p>
      <w:pPr>
        <w:spacing w:line="360" w:lineRule="auto"/>
        <w:ind w:left="959" w:leftChars="228" w:hanging="480" w:hangingChars="200"/>
        <w:rPr>
          <w:rFonts w:ascii="仿宋" w:hAnsi="仿宋" w:eastAsia="仿宋"/>
          <w:color w:val="auto"/>
          <w:sz w:val="24"/>
        </w:rPr>
      </w:pPr>
      <w:r>
        <w:rPr>
          <w:rFonts w:hint="eastAsia" w:ascii="仿宋" w:hAnsi="仿宋" w:eastAsia="仿宋"/>
          <w:color w:val="auto"/>
          <w:sz w:val="24"/>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pPr>
        <w:pStyle w:val="2"/>
        <w:spacing w:line="360" w:lineRule="auto"/>
        <w:rPr>
          <w:color w:val="auto"/>
          <w:sz w:val="24"/>
        </w:rPr>
      </w:pPr>
    </w:p>
    <w:p>
      <w:pPr>
        <w:spacing w:line="360" w:lineRule="auto"/>
        <w:ind w:firstLine="482" w:firstLineChars="200"/>
        <w:outlineLvl w:val="1"/>
        <w:rPr>
          <w:rFonts w:ascii="仿宋" w:hAnsi="仿宋" w:eastAsia="仿宋"/>
          <w:b/>
          <w:color w:val="auto"/>
          <w:sz w:val="24"/>
        </w:rPr>
      </w:pPr>
      <w:r>
        <w:rPr>
          <w:rFonts w:hint="eastAsia" w:ascii="仿宋" w:hAnsi="仿宋" w:eastAsia="仿宋"/>
          <w:b/>
          <w:color w:val="auto"/>
          <w:sz w:val="24"/>
        </w:rPr>
        <w:t>五、</w:t>
      </w:r>
      <w:r>
        <w:rPr>
          <w:rFonts w:hint="eastAsia" w:ascii="仿宋" w:hAnsi="仿宋" w:eastAsia="仿宋"/>
          <w:b/>
          <w:color w:val="auto"/>
          <w:sz w:val="24"/>
          <w:lang w:val="zh-CN"/>
        </w:rPr>
        <w:t>递交响应</w:t>
      </w:r>
      <w:r>
        <w:rPr>
          <w:rFonts w:hint="eastAsia" w:ascii="仿宋" w:hAnsi="仿宋" w:eastAsia="仿宋"/>
          <w:b/>
          <w:color w:val="auto"/>
          <w:kern w:val="0"/>
          <w:sz w:val="24"/>
          <w:lang w:val="zh-CN"/>
        </w:rPr>
        <w:t>文件</w:t>
      </w:r>
      <w:r>
        <w:rPr>
          <w:rFonts w:hint="eastAsia" w:ascii="仿宋" w:hAnsi="仿宋" w:eastAsia="仿宋"/>
          <w:b/>
          <w:color w:val="auto"/>
          <w:sz w:val="24"/>
        </w:rPr>
        <w:t>截止时间、谈判时间及地点</w:t>
      </w:r>
    </w:p>
    <w:p>
      <w:pPr>
        <w:pStyle w:val="2"/>
        <w:spacing w:line="360" w:lineRule="auto"/>
        <w:ind w:firstLine="480" w:firstLineChars="200"/>
        <w:rPr>
          <w:rFonts w:ascii="仿宋" w:hAnsi="仿宋" w:eastAsia="仿宋"/>
          <w:b/>
          <w:color w:val="auto"/>
          <w:sz w:val="24"/>
        </w:rPr>
      </w:pPr>
      <w:r>
        <w:rPr>
          <w:rFonts w:hint="eastAsia" w:ascii="仿宋" w:hAnsi="仿宋" w:eastAsia="仿宋"/>
          <w:color w:val="auto"/>
          <w:sz w:val="24"/>
        </w:rPr>
        <w:t xml:space="preserve">5.1 </w:t>
      </w:r>
      <w:r>
        <w:rPr>
          <w:rFonts w:hint="eastAsia" w:ascii="仿宋" w:hAnsi="仿宋" w:eastAsia="仿宋"/>
          <w:color w:val="auto"/>
          <w:sz w:val="24"/>
          <w:lang w:val="zh-CN"/>
        </w:rPr>
        <w:t>递交响应</w:t>
      </w:r>
      <w:r>
        <w:rPr>
          <w:rFonts w:hint="eastAsia" w:ascii="仿宋" w:hAnsi="仿宋" w:eastAsia="仿宋"/>
          <w:color w:val="auto"/>
          <w:kern w:val="0"/>
          <w:sz w:val="24"/>
          <w:lang w:val="zh-CN"/>
        </w:rPr>
        <w:t>文件</w:t>
      </w:r>
      <w:r>
        <w:rPr>
          <w:rFonts w:hint="eastAsia" w:ascii="仿宋" w:hAnsi="仿宋" w:eastAsia="仿宋"/>
          <w:color w:val="auto"/>
          <w:sz w:val="24"/>
        </w:rPr>
        <w:t>截止时间、谈判时间</w:t>
      </w:r>
      <w:r>
        <w:rPr>
          <w:rFonts w:hint="eastAsia" w:ascii="仿宋" w:hAnsi="仿宋" w:eastAsia="仿宋"/>
          <w:b/>
          <w:color w:val="auto"/>
          <w:sz w:val="24"/>
        </w:rPr>
        <w:t>:2024年6月</w:t>
      </w:r>
      <w:r>
        <w:rPr>
          <w:rFonts w:hint="eastAsia" w:ascii="仿宋" w:hAnsi="仿宋" w:eastAsia="仿宋"/>
          <w:b/>
          <w:color w:val="auto"/>
          <w:sz w:val="24"/>
          <w:lang w:val="en-US" w:eastAsia="zh-CN"/>
        </w:rPr>
        <w:t>19</w:t>
      </w:r>
      <w:r>
        <w:rPr>
          <w:rFonts w:hint="eastAsia" w:ascii="仿宋" w:hAnsi="仿宋" w:eastAsia="仿宋"/>
          <w:b/>
          <w:color w:val="auto"/>
          <w:sz w:val="24"/>
        </w:rPr>
        <w:t>日10:00（北京时间）。</w:t>
      </w:r>
    </w:p>
    <w:p>
      <w:pPr>
        <w:spacing w:line="360" w:lineRule="auto"/>
        <w:ind w:left="959" w:leftChars="228" w:hanging="480" w:hangingChars="200"/>
        <w:rPr>
          <w:rFonts w:ascii="仿宋" w:hAnsi="仿宋" w:eastAsia="仿宋"/>
          <w:color w:val="auto"/>
          <w:sz w:val="24"/>
        </w:rPr>
      </w:pPr>
      <w:r>
        <w:rPr>
          <w:rFonts w:hint="eastAsia" w:ascii="仿宋" w:hAnsi="仿宋" w:eastAsia="仿宋"/>
          <w:color w:val="auto"/>
          <w:sz w:val="24"/>
        </w:rPr>
        <w:t>5.2 谈判地点：自贡市自流井区汇东丹桂大街蓝鹰海岸综合楼二楼四川久润招投标代理有限公司评审室。</w:t>
      </w:r>
    </w:p>
    <w:p>
      <w:pPr>
        <w:pStyle w:val="2"/>
        <w:spacing w:line="360" w:lineRule="auto"/>
        <w:rPr>
          <w:color w:val="auto"/>
          <w:sz w:val="24"/>
        </w:rPr>
      </w:pPr>
    </w:p>
    <w:p>
      <w:pPr>
        <w:spacing w:line="360" w:lineRule="auto"/>
        <w:ind w:firstLine="490" w:firstLineChars="200"/>
        <w:outlineLvl w:val="1"/>
        <w:rPr>
          <w:color w:val="auto"/>
          <w:sz w:val="24"/>
        </w:rPr>
      </w:pPr>
      <w:r>
        <w:rPr>
          <w:rFonts w:hint="eastAsia" w:ascii="仿宋" w:hAnsi="仿宋" w:eastAsia="仿宋" w:cs="仿宋"/>
          <w:b/>
          <w:color w:val="auto"/>
          <w:spacing w:val="2"/>
          <w:sz w:val="24"/>
        </w:rPr>
        <w:t>六、联系方式</w:t>
      </w:r>
    </w:p>
    <w:p>
      <w:pPr>
        <w:pStyle w:val="87"/>
        <w:ind w:firstLine="964" w:firstLineChars="400"/>
        <w:rPr>
          <w:rFonts w:ascii="仿宋" w:hAnsi="仿宋" w:eastAsia="仿宋" w:cs="仿宋"/>
          <w:b/>
          <w:color w:val="auto"/>
          <w:sz w:val="24"/>
          <w:szCs w:val="24"/>
        </w:rPr>
      </w:pPr>
      <w:r>
        <w:rPr>
          <w:rFonts w:hint="eastAsia" w:ascii="仿宋" w:hAnsi="仿宋" w:eastAsia="仿宋" w:cs="仿宋"/>
          <w:b/>
          <w:color w:val="auto"/>
          <w:sz w:val="24"/>
          <w:szCs w:val="24"/>
        </w:rPr>
        <w:t>采 购 人：富顺县中医医院</w:t>
      </w:r>
    </w:p>
    <w:p>
      <w:pPr>
        <w:pStyle w:val="87"/>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地    址：自贡市富顺县东湖大道1801号</w:t>
      </w:r>
    </w:p>
    <w:p>
      <w:pPr>
        <w:pStyle w:val="87"/>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联</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系</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人：聂老师</w:t>
      </w:r>
    </w:p>
    <w:p>
      <w:pPr>
        <w:pStyle w:val="87"/>
        <w:ind w:firstLine="960" w:firstLineChars="400"/>
        <w:rPr>
          <w:rFonts w:ascii="仿宋" w:hAnsi="仿宋" w:eastAsia="仿宋" w:cs="仿宋"/>
          <w:b/>
          <w:color w:val="auto"/>
          <w:sz w:val="24"/>
          <w:szCs w:val="24"/>
        </w:rPr>
      </w:pPr>
      <w:r>
        <w:rPr>
          <w:rFonts w:hint="eastAsia" w:ascii="仿宋" w:hAnsi="仿宋" w:eastAsia="仿宋" w:cs="仿宋"/>
          <w:bCs/>
          <w:color w:val="auto"/>
          <w:sz w:val="24"/>
          <w:szCs w:val="24"/>
        </w:rPr>
        <w:t>联系电话：0813-5538002</w:t>
      </w:r>
    </w:p>
    <w:p>
      <w:pPr>
        <w:pStyle w:val="87"/>
        <w:ind w:firstLine="964" w:firstLineChars="400"/>
        <w:rPr>
          <w:rFonts w:ascii="仿宋" w:hAnsi="仿宋" w:eastAsia="仿宋" w:cs="仿宋"/>
          <w:b/>
          <w:color w:val="auto"/>
          <w:sz w:val="24"/>
          <w:szCs w:val="24"/>
        </w:rPr>
      </w:pPr>
      <w:r>
        <w:rPr>
          <w:rFonts w:hint="eastAsia" w:ascii="仿宋" w:hAnsi="仿宋" w:eastAsia="仿宋" w:cs="仿宋"/>
          <w:b/>
          <w:color w:val="auto"/>
          <w:sz w:val="24"/>
          <w:szCs w:val="24"/>
        </w:rPr>
        <w:t>采购代理机构：四川久润招投标代理有限公司</w:t>
      </w:r>
    </w:p>
    <w:p>
      <w:pPr>
        <w:pStyle w:val="25"/>
        <w:spacing w:before="0" w:after="0" w:line="360" w:lineRule="auto"/>
        <w:ind w:firstLine="960" w:firstLineChars="400"/>
        <w:jc w:val="both"/>
        <w:rPr>
          <w:rFonts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lang w:val="zh-CN"/>
        </w:rPr>
        <w:t>自贡市自流井区汇东丹桂大街蓝鹰海岸综合楼二楼</w:t>
      </w:r>
    </w:p>
    <w:p>
      <w:pPr>
        <w:pStyle w:val="25"/>
        <w:spacing w:before="0" w:after="0" w:line="360" w:lineRule="auto"/>
        <w:ind w:firstLine="960" w:firstLineChars="400"/>
        <w:jc w:val="both"/>
        <w:rPr>
          <w:rFonts w:ascii="仿宋" w:hAnsi="仿宋" w:eastAsia="仿宋" w:cs="仿宋"/>
          <w:color w:val="auto"/>
        </w:rPr>
      </w:pPr>
      <w:r>
        <w:rPr>
          <w:rFonts w:hint="eastAsia" w:ascii="仿宋" w:hAnsi="仿宋" w:eastAsia="仿宋" w:cs="仿宋"/>
          <w:color w:val="auto"/>
        </w:rPr>
        <w:t>联系人：牟女士</w:t>
      </w:r>
    </w:p>
    <w:p>
      <w:pPr>
        <w:pStyle w:val="25"/>
        <w:spacing w:before="0" w:after="0" w:line="360" w:lineRule="auto"/>
        <w:ind w:firstLine="960" w:firstLineChars="400"/>
        <w:jc w:val="both"/>
        <w:rPr>
          <w:rFonts w:ascii="仿宋" w:hAnsi="仿宋" w:eastAsia="仿宋" w:cs="仿宋"/>
          <w:color w:val="auto"/>
        </w:rPr>
      </w:pPr>
      <w:r>
        <w:rPr>
          <w:rFonts w:hint="eastAsia" w:ascii="仿宋" w:hAnsi="仿宋" w:eastAsia="仿宋" w:cs="仿宋"/>
          <w:color w:val="auto"/>
        </w:rPr>
        <w:t>电  话：</w:t>
      </w:r>
      <w:r>
        <w:rPr>
          <w:rFonts w:hint="eastAsia" w:ascii="仿宋" w:hAnsi="仿宋" w:eastAsia="仿宋" w:cs="仿宋"/>
          <w:color w:val="auto"/>
          <w:lang w:val="zh-CN"/>
        </w:rPr>
        <w:t>0813-8108222</w:t>
      </w:r>
    </w:p>
    <w:p>
      <w:pPr>
        <w:pStyle w:val="25"/>
        <w:spacing w:before="0" w:after="0" w:line="360" w:lineRule="auto"/>
        <w:ind w:firstLine="960" w:firstLineChars="400"/>
        <w:jc w:val="both"/>
        <w:rPr>
          <w:rFonts w:ascii="仿宋" w:hAnsi="仿宋" w:eastAsia="仿宋" w:cs="仿宋"/>
          <w:color w:val="auto"/>
        </w:rPr>
      </w:pPr>
      <w:r>
        <w:rPr>
          <w:rFonts w:hint="eastAsia" w:ascii="仿宋" w:hAnsi="仿宋" w:eastAsia="仿宋" w:cs="仿宋"/>
          <w:color w:val="auto"/>
        </w:rPr>
        <w:t>电子邮件：jrzb8222@126.com</w:t>
      </w:r>
    </w:p>
    <w:bookmarkEnd w:id="9"/>
    <w:bookmarkEnd w:id="10"/>
    <w:bookmarkEnd w:id="11"/>
    <w:p>
      <w:pPr>
        <w:pStyle w:val="87"/>
        <w:ind w:firstLine="480" w:firstLineChars="0"/>
        <w:rPr>
          <w:rFonts w:ascii="仿宋" w:hAnsi="仿宋" w:eastAsia="仿宋"/>
          <w:b/>
          <w:color w:val="auto"/>
          <w:sz w:val="24"/>
          <w:szCs w:val="24"/>
        </w:rPr>
      </w:pPr>
      <w:bookmarkStart w:id="12" w:name="_Toc32543"/>
      <w:bookmarkStart w:id="13" w:name="_Toc14619"/>
      <w:bookmarkStart w:id="14" w:name="_Toc24228"/>
      <w:bookmarkStart w:id="15" w:name="_Toc12394"/>
    </w:p>
    <w:p>
      <w:pPr>
        <w:pStyle w:val="25"/>
        <w:spacing w:before="0" w:after="0" w:line="360" w:lineRule="auto"/>
        <w:ind w:firstLine="482" w:firstLineChars="200"/>
        <w:jc w:val="both"/>
        <w:rPr>
          <w:rFonts w:ascii="仿宋" w:hAnsi="仿宋" w:eastAsia="仿宋" w:cs="仿宋"/>
          <w:b/>
          <w:color w:val="auto"/>
        </w:rPr>
        <w:sectPr>
          <w:footerReference r:id="rId11" w:type="default"/>
          <w:pgSz w:w="11850" w:h="16783"/>
          <w:pgMar w:top="1440" w:right="1531" w:bottom="1440" w:left="1644" w:header="851" w:footer="992" w:gutter="0"/>
          <w:pgNumType w:start="1"/>
          <w:cols w:space="720" w:num="1"/>
          <w:docGrid w:linePitch="312" w:charSpace="0"/>
        </w:sectPr>
      </w:pPr>
    </w:p>
    <w:p>
      <w:pPr>
        <w:spacing w:beforeLines="50" w:afterLines="100"/>
        <w:jc w:val="center"/>
        <w:outlineLvl w:val="0"/>
        <w:rPr>
          <w:color w:val="auto"/>
        </w:rPr>
      </w:pPr>
      <w:bookmarkStart w:id="16" w:name="_Toc29609"/>
      <w:bookmarkStart w:id="17" w:name="_Toc2195"/>
      <w:r>
        <w:rPr>
          <w:rFonts w:hint="eastAsia" w:ascii="仿宋" w:hAnsi="仿宋" w:eastAsia="仿宋" w:cs="仿宋"/>
          <w:b/>
          <w:bCs/>
          <w:color w:val="auto"/>
          <w:spacing w:val="-2"/>
          <w:sz w:val="36"/>
          <w:szCs w:val="36"/>
        </w:rPr>
        <w:t>第二章供应商谈判须知</w:t>
      </w:r>
      <w:bookmarkEnd w:id="12"/>
      <w:bookmarkEnd w:id="13"/>
      <w:bookmarkEnd w:id="14"/>
      <w:bookmarkEnd w:id="15"/>
      <w:bookmarkEnd w:id="16"/>
      <w:bookmarkEnd w:id="17"/>
    </w:p>
    <w:p>
      <w:pPr>
        <w:numPr>
          <w:ilvl w:val="0"/>
          <w:numId w:val="1"/>
        </w:numPr>
        <w:spacing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供应商须知前附表</w:t>
      </w:r>
    </w:p>
    <w:tbl>
      <w:tblPr>
        <w:tblStyle w:val="26"/>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pPr>
              <w:pStyle w:val="82"/>
              <w:jc w:val="center"/>
              <w:rPr>
                <w:rFonts w:ascii="仿宋" w:hAnsi="仿宋" w:eastAsia="仿宋" w:cs="仿宋"/>
                <w:bCs/>
                <w:color w:val="auto"/>
                <w:kern w:val="2"/>
                <w:lang w:val="zh-CN"/>
              </w:rPr>
            </w:pPr>
            <w:r>
              <w:rPr>
                <w:rFonts w:hint="eastAsia" w:ascii="仿宋" w:hAnsi="仿宋" w:eastAsia="仿宋" w:cs="仿宋"/>
                <w:b/>
                <w:color w:val="auto"/>
                <w:kern w:val="2"/>
                <w:lang w:val="zh-CN"/>
              </w:rPr>
              <w:t>序号</w:t>
            </w:r>
          </w:p>
        </w:tc>
        <w:tc>
          <w:tcPr>
            <w:tcW w:w="2093" w:type="dxa"/>
            <w:vAlign w:val="center"/>
          </w:tcPr>
          <w:p>
            <w:pPr>
              <w:pStyle w:val="82"/>
              <w:jc w:val="center"/>
              <w:rPr>
                <w:rFonts w:ascii="仿宋" w:hAnsi="仿宋" w:eastAsia="仿宋" w:cs="仿宋"/>
                <w:b/>
                <w:color w:val="auto"/>
                <w:kern w:val="2"/>
                <w:lang w:val="zh-CN"/>
              </w:rPr>
            </w:pPr>
            <w:r>
              <w:rPr>
                <w:rFonts w:hint="eastAsia" w:ascii="仿宋" w:hAnsi="仿宋" w:eastAsia="仿宋" w:cs="仿宋"/>
                <w:b/>
                <w:color w:val="auto"/>
                <w:kern w:val="2"/>
                <w:lang w:val="zh-CN"/>
              </w:rPr>
              <w:t>条款名称</w:t>
            </w:r>
          </w:p>
        </w:tc>
        <w:tc>
          <w:tcPr>
            <w:tcW w:w="6705" w:type="dxa"/>
            <w:vAlign w:val="center"/>
          </w:tcPr>
          <w:p>
            <w:pPr>
              <w:pStyle w:val="82"/>
              <w:jc w:val="center"/>
              <w:rPr>
                <w:rFonts w:ascii="仿宋" w:hAnsi="仿宋" w:eastAsia="仿宋" w:cs="仿宋"/>
                <w:b/>
                <w:color w:val="auto"/>
                <w:kern w:val="2"/>
                <w:lang w:val="zh-CN"/>
              </w:rPr>
            </w:pPr>
            <w:r>
              <w:rPr>
                <w:rFonts w:hint="eastAsia" w:ascii="仿宋" w:hAnsi="仿宋" w:eastAsia="仿宋" w:cs="仿宋"/>
                <w:b/>
                <w:color w:val="auto"/>
                <w:kern w:val="2"/>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w:t>
            </w:r>
          </w:p>
        </w:tc>
        <w:tc>
          <w:tcPr>
            <w:tcW w:w="2093" w:type="dxa"/>
            <w:vAlign w:val="center"/>
          </w:tcPr>
          <w:p>
            <w:pPr>
              <w:spacing w:afterLines="20" w:line="400" w:lineRule="exact"/>
              <w:ind w:left="42" w:leftChars="20" w:right="42" w:rightChars="20"/>
              <w:jc w:val="center"/>
              <w:rPr>
                <w:rFonts w:ascii="仿宋" w:hAnsi="仿宋" w:eastAsia="仿宋" w:cs="仿宋"/>
                <w:bCs/>
                <w:color w:val="auto"/>
                <w:sz w:val="24"/>
              </w:rPr>
            </w:pPr>
            <w:r>
              <w:rPr>
                <w:rFonts w:hint="eastAsia" w:ascii="仿宋" w:hAnsi="仿宋" w:eastAsia="仿宋" w:cs="仿宋"/>
                <w:bCs/>
                <w:color w:val="auto"/>
                <w:sz w:val="24"/>
              </w:rPr>
              <w:t>确定邀请谈判的         供应商数量和方式</w:t>
            </w:r>
          </w:p>
        </w:tc>
        <w:tc>
          <w:tcPr>
            <w:tcW w:w="6705" w:type="dxa"/>
            <w:vAlign w:val="center"/>
          </w:tcPr>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本次项目邀请的供应商数量：3家及以上。</w:t>
            </w:r>
          </w:p>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lang w:val="zh-CN"/>
              </w:rPr>
              <w:t>本次采购在</w:t>
            </w:r>
            <w:r>
              <w:rPr>
                <w:rFonts w:hint="eastAsia" w:ascii="仿宋" w:hAnsi="仿宋" w:eastAsia="仿宋" w:cs="仿宋"/>
                <w:color w:val="auto"/>
                <w:sz w:val="24"/>
              </w:rPr>
              <w:t>四川招投标网</w:t>
            </w:r>
            <w:r>
              <w:rPr>
                <w:rFonts w:hint="eastAsia" w:ascii="仿宋" w:hAnsi="仿宋" w:eastAsia="仿宋"/>
                <w:color w:val="auto"/>
                <w:spacing w:val="-2"/>
                <w:sz w:val="24"/>
              </w:rPr>
              <w:t>（www.scbid.com）</w:t>
            </w:r>
            <w:r>
              <w:rPr>
                <w:rFonts w:hint="eastAsia" w:ascii="仿宋" w:hAnsi="仿宋" w:eastAsia="仿宋" w:cs="仿宋"/>
                <w:bCs/>
                <w:color w:val="auto"/>
                <w:sz w:val="24"/>
                <w:lang w:val="zh-CN"/>
              </w:rPr>
              <w:t>上以公告形式发布。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2</w:t>
            </w:r>
          </w:p>
        </w:tc>
        <w:tc>
          <w:tcPr>
            <w:tcW w:w="2093"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采购预算</w:t>
            </w:r>
          </w:p>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
                <w:bCs/>
                <w:color w:val="auto"/>
                <w:lang w:val="zh-CN"/>
              </w:rPr>
              <w:t>（实质性要求）</w:t>
            </w:r>
          </w:p>
        </w:tc>
        <w:tc>
          <w:tcPr>
            <w:tcW w:w="6705" w:type="dxa"/>
            <w:vAlign w:val="center"/>
          </w:tcPr>
          <w:p>
            <w:pPr>
              <w:pStyle w:val="82"/>
              <w:ind w:left="42" w:leftChars="20" w:firstLine="240" w:firstLineChars="100"/>
              <w:rPr>
                <w:rFonts w:ascii="仿宋" w:hAnsi="仿宋" w:eastAsia="仿宋" w:cs="仿宋"/>
                <w:bCs/>
                <w:color w:val="auto"/>
              </w:rPr>
            </w:pPr>
            <w:r>
              <w:rPr>
                <w:rFonts w:hint="eastAsia" w:ascii="仿宋" w:hAnsi="仿宋" w:eastAsia="仿宋" w:cs="仿宋"/>
                <w:bCs/>
                <w:color w:val="auto"/>
                <w:kern w:val="2"/>
              </w:rPr>
              <w:t>采购预算</w:t>
            </w:r>
            <w:r>
              <w:rPr>
                <w:rFonts w:hint="eastAsia" w:ascii="仿宋" w:hAnsi="仿宋" w:eastAsia="仿宋" w:cs="仿宋"/>
                <w:bCs/>
                <w:color w:val="auto"/>
              </w:rPr>
              <w:t>：285000.00元；</w:t>
            </w:r>
          </w:p>
          <w:p>
            <w:pPr>
              <w:spacing w:afterLines="20" w:line="400" w:lineRule="exact"/>
              <w:ind w:left="42" w:leftChars="20" w:right="42" w:rightChars="20" w:firstLine="240" w:firstLineChars="100"/>
              <w:outlineLvl w:val="1"/>
              <w:rPr>
                <w:rFonts w:ascii="仿宋" w:hAnsi="仿宋" w:eastAsia="仿宋" w:cs="仿宋"/>
                <w:bCs/>
                <w:color w:val="auto"/>
                <w:sz w:val="24"/>
              </w:rPr>
            </w:pPr>
            <w:r>
              <w:rPr>
                <w:rFonts w:hint="eastAsia" w:ascii="仿宋" w:hAnsi="仿宋" w:eastAsia="仿宋" w:cs="仿宋"/>
                <w:bCs/>
                <w:color w:val="auto"/>
                <w:sz w:val="24"/>
                <w:lang w:val="zh-CN"/>
              </w:rPr>
              <w:t>供应商报价超过采购预算金额的，视为无效响应。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3</w:t>
            </w:r>
          </w:p>
        </w:tc>
        <w:tc>
          <w:tcPr>
            <w:tcW w:w="2093"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最高限价</w:t>
            </w:r>
          </w:p>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
                <w:bCs/>
                <w:color w:val="auto"/>
                <w:lang w:val="zh-CN"/>
              </w:rPr>
              <w:t>（实质性要求）</w:t>
            </w:r>
          </w:p>
        </w:tc>
        <w:tc>
          <w:tcPr>
            <w:tcW w:w="6705" w:type="dxa"/>
            <w:vAlign w:val="center"/>
          </w:tcPr>
          <w:p>
            <w:pPr>
              <w:spacing w:afterLines="20" w:line="400" w:lineRule="exact"/>
              <w:ind w:left="42" w:leftChars="20" w:right="42" w:rightChars="20" w:firstLine="240" w:firstLineChars="100"/>
              <w:outlineLvl w:val="1"/>
              <w:rPr>
                <w:rFonts w:ascii="仿宋" w:hAnsi="仿宋" w:eastAsia="仿宋" w:cs="仿宋"/>
                <w:bCs/>
                <w:color w:val="auto"/>
                <w:sz w:val="24"/>
              </w:rPr>
            </w:pPr>
            <w:r>
              <w:rPr>
                <w:rFonts w:hint="eastAsia" w:ascii="仿宋" w:hAnsi="仿宋" w:eastAsia="仿宋" w:cs="仿宋"/>
                <w:bCs/>
                <w:color w:val="auto"/>
                <w:sz w:val="24"/>
              </w:rPr>
              <w:t>最高限价：285000.00元；</w:t>
            </w:r>
          </w:p>
          <w:p>
            <w:pPr>
              <w:pStyle w:val="2"/>
              <w:spacing w:afterLines="20" w:line="400" w:lineRule="exact"/>
              <w:ind w:left="42" w:leftChars="20" w:right="42" w:rightChars="20" w:firstLine="240" w:firstLineChars="100"/>
              <w:rPr>
                <w:rFonts w:ascii="仿宋" w:hAnsi="仿宋" w:eastAsia="仿宋" w:cs="仿宋"/>
                <w:color w:val="auto"/>
                <w:sz w:val="21"/>
              </w:rPr>
            </w:pPr>
            <w:r>
              <w:rPr>
                <w:rFonts w:hint="eastAsia" w:ascii="仿宋" w:hAnsi="仿宋" w:eastAsia="仿宋" w:cs="仿宋"/>
                <w:color w:val="auto"/>
                <w:sz w:val="24"/>
                <w:lang w:val="zh-CN"/>
              </w:rPr>
              <w:t>供应商报价超过对应最高限价的，视为无效响应。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0"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4</w:t>
            </w:r>
          </w:p>
        </w:tc>
        <w:tc>
          <w:tcPr>
            <w:tcW w:w="2093" w:type="dxa"/>
            <w:vAlign w:val="center"/>
          </w:tcPr>
          <w:p>
            <w:pPr>
              <w:autoSpaceDE w:val="0"/>
              <w:autoSpaceDN w:val="0"/>
              <w:adjustRightInd w:val="0"/>
              <w:spacing w:afterLines="20" w:line="400" w:lineRule="exact"/>
              <w:ind w:left="42" w:leftChars="20" w:right="42" w:rightChars="20"/>
              <w:jc w:val="center"/>
              <w:rPr>
                <w:rFonts w:ascii="仿宋" w:hAnsi="仿宋" w:eastAsia="仿宋" w:cs="仿宋"/>
                <w:bCs/>
                <w:color w:val="auto"/>
                <w:sz w:val="24"/>
              </w:rPr>
            </w:pPr>
            <w:r>
              <w:rPr>
                <w:rFonts w:hint="eastAsia" w:ascii="仿宋" w:hAnsi="仿宋" w:eastAsia="仿宋" w:cs="仿宋"/>
                <w:bCs/>
                <w:color w:val="auto"/>
                <w:sz w:val="24"/>
              </w:rPr>
              <w:t>低于成本价不正</w:t>
            </w:r>
          </w:p>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当竞争预防措施</w:t>
            </w:r>
          </w:p>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eastAsia="仿宋" w:cs="仿宋"/>
                <w:b/>
                <w:color w:val="auto"/>
                <w:kern w:val="2"/>
                <w:lang w:val="zh-CN"/>
              </w:rPr>
              <w:t>（实质性要求）</w:t>
            </w:r>
          </w:p>
        </w:tc>
        <w:tc>
          <w:tcPr>
            <w:tcW w:w="6705" w:type="dxa"/>
            <w:vAlign w:val="center"/>
          </w:tcPr>
          <w:p>
            <w:pPr>
              <w:spacing w:afterLines="20" w:line="400" w:lineRule="exact"/>
              <w:ind w:left="42" w:leftChars="20" w:right="42" w:rightChars="20" w:firstLine="240" w:firstLineChars="100"/>
              <w:rPr>
                <w:rFonts w:ascii="仿宋" w:hAnsi="仿宋" w:eastAsia="仿宋" w:cs="仿宋"/>
                <w:bCs/>
                <w:color w:val="auto"/>
                <w:sz w:val="24"/>
                <w:szCs w:val="32"/>
              </w:rPr>
            </w:pPr>
            <w:r>
              <w:rPr>
                <w:rFonts w:hint="eastAsia" w:ascii="仿宋" w:hAnsi="仿宋" w:eastAsia="仿宋" w:cs="仿宋"/>
                <w:bCs/>
                <w:color w:val="auto"/>
                <w:sz w:val="24"/>
                <w:szCs w:val="32"/>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p>
          <w:p>
            <w:pPr>
              <w:spacing w:afterLines="20" w:line="400" w:lineRule="exact"/>
              <w:ind w:left="42" w:leftChars="20" w:right="42" w:rightChars="20" w:firstLine="240" w:firstLineChars="100"/>
              <w:rPr>
                <w:rFonts w:ascii="仿宋" w:hAnsi="仿宋" w:eastAsia="仿宋" w:cs="仿宋"/>
                <w:bCs/>
                <w:color w:val="auto"/>
                <w:sz w:val="24"/>
                <w:szCs w:val="32"/>
              </w:rPr>
            </w:pPr>
            <w:r>
              <w:rPr>
                <w:rFonts w:hint="eastAsia" w:ascii="仿宋" w:hAnsi="仿宋" w:eastAsia="仿宋" w:cs="仿宋"/>
                <w:bCs/>
                <w:color w:val="auto"/>
                <w:sz w:val="24"/>
                <w:szCs w:val="32"/>
              </w:rPr>
              <w:t>供应商的书面说明材料应当按照国家财务会计制度的规定要求，逐项就供应商提供的货物、服务和工程的主营业务成本、税金及附加、销售费用、管理费用、财务费用等成本构成事项详细陈述。</w:t>
            </w:r>
          </w:p>
          <w:p>
            <w:pPr>
              <w:spacing w:afterLines="20" w:line="400" w:lineRule="exact"/>
              <w:ind w:left="42" w:leftChars="20" w:right="42" w:rightChars="20" w:firstLine="240" w:firstLineChars="100"/>
              <w:rPr>
                <w:rFonts w:ascii="仿宋" w:hAnsi="仿宋" w:eastAsia="仿宋" w:cs="仿宋"/>
                <w:bCs/>
                <w:color w:val="auto"/>
                <w:sz w:val="24"/>
                <w:szCs w:val="32"/>
              </w:rPr>
            </w:pPr>
            <w:r>
              <w:rPr>
                <w:rFonts w:hint="eastAsia" w:ascii="仿宋" w:hAnsi="仿宋" w:eastAsia="仿宋" w:cs="仿宋"/>
                <w:bCs/>
                <w:color w:val="auto"/>
                <w:sz w:val="24"/>
                <w:szCs w:val="32"/>
              </w:rPr>
              <w:t>二、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szCs w:val="32"/>
              </w:rPr>
              <w:t xml:space="preserve">  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5</w:t>
            </w:r>
          </w:p>
        </w:tc>
        <w:tc>
          <w:tcPr>
            <w:tcW w:w="2093" w:type="dxa"/>
            <w:vAlign w:val="center"/>
          </w:tcPr>
          <w:p>
            <w:pPr>
              <w:pStyle w:val="82"/>
              <w:spacing w:afterLines="20" w:line="400" w:lineRule="exact"/>
              <w:ind w:left="42" w:leftChars="20" w:right="42" w:rightChars="20"/>
              <w:jc w:val="center"/>
              <w:rPr>
                <w:rFonts w:ascii="仿宋" w:hAnsi="仿宋" w:eastAsia="仿宋" w:cs="仿宋"/>
                <w:color w:val="auto"/>
                <w:lang w:val="zh-CN"/>
              </w:rPr>
            </w:pPr>
            <w:r>
              <w:rPr>
                <w:rFonts w:hint="eastAsia" w:ascii="仿宋" w:hAnsi="仿宋" w:eastAsia="仿宋" w:cs="仿宋"/>
                <w:color w:val="auto"/>
                <w:lang w:val="zh-CN"/>
              </w:rPr>
              <w:t>联合体</w:t>
            </w:r>
          </w:p>
          <w:p>
            <w:pPr>
              <w:pStyle w:val="82"/>
              <w:spacing w:afterLines="20" w:line="400" w:lineRule="exact"/>
              <w:ind w:left="42" w:leftChars="20" w:right="42" w:rightChars="20"/>
              <w:jc w:val="center"/>
              <w:rPr>
                <w:rFonts w:ascii="仿宋" w:hAnsi="仿宋" w:eastAsia="仿宋" w:cs="仿宋"/>
                <w:color w:val="auto"/>
                <w:kern w:val="2"/>
              </w:rPr>
            </w:pPr>
            <w:r>
              <w:rPr>
                <w:rFonts w:hint="eastAsia" w:ascii="仿宋" w:eastAsia="仿宋" w:cs="仿宋"/>
                <w:b/>
                <w:color w:val="auto"/>
                <w:kern w:val="2"/>
                <w:lang w:val="zh-CN"/>
              </w:rPr>
              <w:t>（实质性要求）</w:t>
            </w:r>
          </w:p>
        </w:tc>
        <w:tc>
          <w:tcPr>
            <w:tcW w:w="6705" w:type="dxa"/>
            <w:vAlign w:val="center"/>
          </w:tcPr>
          <w:p>
            <w:pPr>
              <w:pStyle w:val="82"/>
              <w:spacing w:afterLines="20" w:line="400" w:lineRule="exact"/>
              <w:ind w:left="42" w:leftChars="20" w:right="42" w:rightChars="20" w:firstLine="240" w:firstLineChars="100"/>
              <w:jc w:val="both"/>
              <w:rPr>
                <w:rFonts w:ascii="仿宋" w:hAnsi="仿宋" w:eastAsia="仿宋" w:cs="仿宋"/>
                <w:color w:val="auto"/>
                <w:kern w:val="2"/>
              </w:rPr>
            </w:pPr>
            <w:r>
              <w:rPr>
                <w:rFonts w:hint="eastAsia" w:ascii="仿宋" w:hAnsi="仿宋" w:eastAsia="仿宋" w:cs="仿宋"/>
                <w:color w:val="auto"/>
              </w:rPr>
              <w:t>本项目不接受联合体参与。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6</w:t>
            </w:r>
          </w:p>
        </w:tc>
        <w:tc>
          <w:tcPr>
            <w:tcW w:w="2093" w:type="dxa"/>
            <w:vAlign w:val="center"/>
          </w:tcPr>
          <w:p>
            <w:pPr>
              <w:pStyle w:val="82"/>
              <w:spacing w:afterLines="20" w:line="400" w:lineRule="exact"/>
              <w:ind w:left="42" w:leftChars="20" w:right="42" w:rightChars="20"/>
              <w:jc w:val="center"/>
              <w:rPr>
                <w:rFonts w:ascii="仿宋" w:hAnsi="仿宋" w:eastAsia="仿宋" w:cs="仿宋"/>
                <w:color w:val="auto"/>
                <w:lang w:val="zh-CN"/>
              </w:rPr>
            </w:pPr>
            <w:r>
              <w:rPr>
                <w:rFonts w:hint="eastAsia" w:ascii="仿宋" w:hAnsi="仿宋" w:eastAsia="仿宋" w:cs="仿宋"/>
                <w:color w:val="auto"/>
                <w:lang w:val="zh-CN"/>
              </w:rPr>
              <w:t>合同分包、转包</w:t>
            </w:r>
          </w:p>
          <w:p>
            <w:pPr>
              <w:pStyle w:val="82"/>
              <w:spacing w:afterLines="20" w:line="400" w:lineRule="exact"/>
              <w:ind w:left="42" w:leftChars="20" w:right="42" w:rightChars="20"/>
              <w:jc w:val="center"/>
              <w:rPr>
                <w:rFonts w:ascii="仿宋" w:hAnsi="仿宋" w:eastAsia="仿宋" w:cs="仿宋"/>
                <w:color w:val="auto"/>
                <w:kern w:val="2"/>
              </w:rPr>
            </w:pPr>
            <w:r>
              <w:rPr>
                <w:rFonts w:hint="eastAsia" w:ascii="仿宋" w:eastAsia="仿宋" w:cs="仿宋"/>
                <w:b/>
                <w:color w:val="auto"/>
                <w:kern w:val="2"/>
                <w:lang w:val="zh-CN"/>
              </w:rPr>
              <w:t>（实质性要求）</w:t>
            </w:r>
          </w:p>
        </w:tc>
        <w:tc>
          <w:tcPr>
            <w:tcW w:w="6705" w:type="dxa"/>
            <w:vAlign w:val="center"/>
          </w:tcPr>
          <w:p>
            <w:pPr>
              <w:pStyle w:val="82"/>
              <w:spacing w:afterLines="20" w:line="400" w:lineRule="exact"/>
              <w:ind w:left="42" w:leftChars="20" w:right="42" w:rightChars="20" w:firstLine="240" w:firstLineChars="100"/>
              <w:rPr>
                <w:rFonts w:ascii="仿宋" w:hAnsi="仿宋" w:eastAsia="仿宋" w:cs="仿宋"/>
                <w:color w:val="auto"/>
                <w:kern w:val="2"/>
              </w:rPr>
            </w:pPr>
            <w:r>
              <w:rPr>
                <w:rFonts w:hint="eastAsia" w:ascii="仿宋" w:hAnsi="仿宋" w:eastAsia="仿宋" w:cs="仿宋"/>
                <w:color w:val="auto"/>
              </w:rPr>
              <w:t>采购人不允许成交供应商将本项目合同</w:t>
            </w:r>
            <w:r>
              <w:rPr>
                <w:rFonts w:hint="eastAsia" w:ascii="仿宋" w:hAnsi="仿宋" w:eastAsia="仿宋" w:cs="仿宋"/>
                <w:color w:val="auto"/>
                <w:kern w:val="2"/>
                <w:lang w:val="zh-CN"/>
              </w:rPr>
              <w:t>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7</w:t>
            </w:r>
          </w:p>
        </w:tc>
        <w:tc>
          <w:tcPr>
            <w:tcW w:w="2093" w:type="dxa"/>
            <w:vAlign w:val="center"/>
          </w:tcPr>
          <w:p>
            <w:pPr>
              <w:pStyle w:val="82"/>
              <w:spacing w:afterLines="20" w:line="400" w:lineRule="exact"/>
              <w:ind w:left="42" w:leftChars="20" w:right="42" w:rightChars="20"/>
              <w:jc w:val="center"/>
              <w:rPr>
                <w:rFonts w:ascii="仿宋" w:hAnsi="仿宋" w:eastAsia="仿宋" w:cs="仿宋"/>
                <w:color w:val="auto"/>
                <w:kern w:val="2"/>
              </w:rPr>
            </w:pPr>
            <w:r>
              <w:rPr>
                <w:rFonts w:hint="eastAsia" w:ascii="仿宋" w:hAnsi="仿宋" w:eastAsia="仿宋" w:cs="仿宋"/>
                <w:color w:val="auto"/>
                <w:kern w:val="2"/>
              </w:rPr>
              <w:t>评审情况公告</w:t>
            </w:r>
          </w:p>
        </w:tc>
        <w:tc>
          <w:tcPr>
            <w:tcW w:w="6705" w:type="dxa"/>
            <w:vAlign w:val="center"/>
          </w:tcPr>
          <w:p>
            <w:pPr>
              <w:pStyle w:val="82"/>
              <w:spacing w:afterLines="20" w:line="400" w:lineRule="exact"/>
              <w:ind w:left="42" w:leftChars="20" w:right="42" w:rightChars="20" w:firstLine="240" w:firstLineChars="100"/>
              <w:rPr>
                <w:rFonts w:ascii="仿宋" w:hAnsi="仿宋" w:eastAsia="仿宋" w:cs="仿宋"/>
                <w:color w:val="auto"/>
                <w:kern w:val="2"/>
              </w:rPr>
            </w:pPr>
            <w:r>
              <w:rPr>
                <w:rFonts w:hint="eastAsia" w:ascii="仿宋" w:hAnsi="仿宋" w:eastAsia="仿宋" w:cs="仿宋"/>
                <w:color w:val="auto"/>
                <w:kern w:val="2"/>
              </w:rPr>
              <w:t>评审结果将在四川招投标网（www.scbid.com）上进行公示。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8</w:t>
            </w:r>
          </w:p>
        </w:tc>
        <w:tc>
          <w:tcPr>
            <w:tcW w:w="2093" w:type="dxa"/>
            <w:vAlign w:val="center"/>
          </w:tcPr>
          <w:p>
            <w:pPr>
              <w:pStyle w:val="82"/>
              <w:spacing w:afterLines="20" w:line="400" w:lineRule="exact"/>
              <w:ind w:left="42" w:leftChars="20" w:right="42" w:rightChars="20"/>
              <w:jc w:val="center"/>
              <w:rPr>
                <w:rFonts w:ascii="仿宋" w:hAnsi="仿宋" w:eastAsia="仿宋" w:cs="仿宋"/>
                <w:color w:val="auto"/>
                <w:kern w:val="2"/>
              </w:rPr>
            </w:pPr>
            <w:r>
              <w:rPr>
                <w:rFonts w:hint="eastAsia" w:ascii="仿宋" w:hAnsi="仿宋" w:eastAsia="仿宋" w:cs="仿宋"/>
                <w:color w:val="auto"/>
                <w:kern w:val="2"/>
                <w:lang w:val="zh-CN"/>
              </w:rPr>
              <w:t>谈判保证金</w:t>
            </w:r>
          </w:p>
        </w:tc>
        <w:tc>
          <w:tcPr>
            <w:tcW w:w="6705" w:type="dxa"/>
            <w:vAlign w:val="center"/>
          </w:tcPr>
          <w:p>
            <w:pPr>
              <w:pStyle w:val="82"/>
              <w:spacing w:afterLines="20" w:line="400" w:lineRule="exact"/>
              <w:ind w:left="42" w:leftChars="20" w:right="42" w:rightChars="20" w:firstLine="240" w:firstLineChars="100"/>
              <w:rPr>
                <w:rFonts w:ascii="仿宋" w:hAnsi="仿宋" w:eastAsia="仿宋" w:cs="仿宋"/>
                <w:color w:val="auto"/>
                <w:kern w:val="2"/>
              </w:rPr>
            </w:pPr>
            <w:r>
              <w:rPr>
                <w:rFonts w:hint="eastAsia" w:ascii="仿宋" w:hAnsi="仿宋" w:eastAsia="仿宋" w:cs="仿宋"/>
                <w:color w:val="auto"/>
                <w:kern w:val="2"/>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9</w:t>
            </w:r>
          </w:p>
        </w:tc>
        <w:tc>
          <w:tcPr>
            <w:tcW w:w="2093" w:type="dxa"/>
            <w:vAlign w:val="center"/>
          </w:tcPr>
          <w:p>
            <w:pPr>
              <w:pStyle w:val="82"/>
              <w:spacing w:afterLines="20" w:line="400" w:lineRule="exact"/>
              <w:ind w:left="42" w:leftChars="20" w:right="42" w:rightChars="20"/>
              <w:jc w:val="center"/>
              <w:rPr>
                <w:rFonts w:ascii="仿宋" w:hAnsi="仿宋" w:eastAsia="仿宋" w:cs="仿宋"/>
                <w:bCs/>
                <w:color w:val="auto"/>
              </w:rPr>
            </w:pPr>
            <w:r>
              <w:rPr>
                <w:rFonts w:hint="eastAsia" w:ascii="仿宋" w:hAnsi="仿宋" w:eastAsia="仿宋" w:cs="仿宋"/>
                <w:color w:val="auto"/>
                <w:lang w:val="zh-CN"/>
              </w:rPr>
              <w:t>履约保证金</w:t>
            </w:r>
          </w:p>
        </w:tc>
        <w:tc>
          <w:tcPr>
            <w:tcW w:w="6705" w:type="dxa"/>
            <w:vAlign w:val="center"/>
          </w:tcPr>
          <w:p>
            <w:pPr>
              <w:pStyle w:val="82"/>
              <w:spacing w:afterLines="20" w:line="400" w:lineRule="exact"/>
              <w:ind w:left="42" w:leftChars="20" w:right="42" w:rightChars="20" w:firstLine="240" w:firstLineChars="100"/>
              <w:jc w:val="both"/>
              <w:rPr>
                <w:rFonts w:ascii="仿宋" w:hAnsi="仿宋" w:eastAsia="仿宋" w:cs="仿宋"/>
                <w:bCs/>
                <w:color w:val="auto"/>
                <w:kern w:val="2"/>
              </w:rPr>
            </w:pPr>
            <w:r>
              <w:rPr>
                <w:rFonts w:hint="eastAsia" w:ascii="仿宋" w:hAnsi="仿宋" w:eastAsia="仿宋" w:cs="仿宋"/>
                <w:color w:val="auto"/>
                <w:kern w:val="2"/>
              </w:rPr>
              <w:t>本项目不收取</w:t>
            </w:r>
            <w:r>
              <w:rPr>
                <w:rFonts w:hint="eastAsia" w:ascii="仿宋" w:hAnsi="仿宋" w:eastAsia="仿宋" w:cs="仿宋"/>
                <w:color w:val="auto"/>
                <w:lang w:val="zh-CN"/>
              </w:rPr>
              <w:t>履约保证金</w:t>
            </w:r>
            <w:r>
              <w:rPr>
                <w:rFonts w:hint="eastAsia" w:ascii="仿宋" w:hAnsi="仿宋" w:eastAsia="仿宋" w:cs="仿宋"/>
                <w:color w:val="auto"/>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10</w:t>
            </w:r>
          </w:p>
        </w:tc>
        <w:tc>
          <w:tcPr>
            <w:tcW w:w="2093" w:type="dxa"/>
            <w:vAlign w:val="center"/>
          </w:tcPr>
          <w:p>
            <w:pPr>
              <w:spacing w:afterLines="20" w:line="400" w:lineRule="exact"/>
              <w:ind w:left="42" w:leftChars="20" w:right="42" w:rightChars="20"/>
              <w:jc w:val="center"/>
              <w:rPr>
                <w:rFonts w:ascii="仿宋" w:hAnsi="仿宋" w:eastAsia="仿宋" w:cs="仿宋"/>
                <w:bCs/>
                <w:color w:val="auto"/>
                <w:sz w:val="24"/>
              </w:rPr>
            </w:pPr>
            <w:r>
              <w:rPr>
                <w:rFonts w:hint="eastAsia" w:ascii="仿宋" w:hAnsi="仿宋" w:eastAsia="仿宋" w:cs="仿宋"/>
                <w:bCs/>
                <w:color w:val="auto"/>
                <w:sz w:val="24"/>
              </w:rPr>
              <w:t>现场考察和</w:t>
            </w:r>
          </w:p>
          <w:p>
            <w:pPr>
              <w:spacing w:afterLines="20" w:line="400" w:lineRule="exact"/>
              <w:ind w:left="42" w:leftChars="20" w:right="42" w:rightChars="20"/>
              <w:jc w:val="center"/>
              <w:rPr>
                <w:rFonts w:ascii="仿宋" w:hAnsi="仿宋" w:eastAsia="仿宋" w:cs="仿宋"/>
                <w:bCs/>
                <w:color w:val="auto"/>
                <w:sz w:val="24"/>
              </w:rPr>
            </w:pPr>
            <w:r>
              <w:rPr>
                <w:rFonts w:hint="eastAsia" w:ascii="仿宋" w:hAnsi="仿宋" w:eastAsia="仿宋" w:cs="仿宋"/>
                <w:color w:val="auto"/>
                <w:spacing w:val="-2"/>
                <w:sz w:val="24"/>
              </w:rPr>
              <w:t>谈判</w:t>
            </w:r>
            <w:r>
              <w:rPr>
                <w:rFonts w:hint="eastAsia" w:ascii="仿宋" w:hAnsi="仿宋" w:eastAsia="仿宋" w:cs="仿宋"/>
                <w:bCs/>
                <w:color w:val="auto"/>
                <w:sz w:val="24"/>
              </w:rPr>
              <w:t>前答疑会</w:t>
            </w:r>
          </w:p>
        </w:tc>
        <w:tc>
          <w:tcPr>
            <w:tcW w:w="6705" w:type="dxa"/>
            <w:vAlign w:val="center"/>
          </w:tcPr>
          <w:p>
            <w:pPr>
              <w:spacing w:afterLines="20" w:line="400" w:lineRule="exact"/>
              <w:ind w:left="42" w:leftChars="20" w:right="42" w:rightChars="20" w:firstLine="240" w:firstLineChars="100"/>
              <w:rPr>
                <w:rFonts w:ascii="仿宋" w:hAnsi="仿宋" w:eastAsia="仿宋" w:cs="仿宋"/>
                <w:color w:val="auto"/>
                <w:sz w:val="24"/>
              </w:rPr>
            </w:pPr>
            <w:r>
              <w:rPr>
                <w:rFonts w:hint="eastAsia" w:ascii="仿宋" w:hAnsi="仿宋" w:eastAsia="仿宋" w:cs="仿宋"/>
                <w:color w:val="auto"/>
                <w:sz w:val="24"/>
              </w:rPr>
              <w:t>本项目</w:t>
            </w:r>
            <w:r>
              <w:rPr>
                <w:rFonts w:hint="eastAsia" w:ascii="仿宋" w:hAnsi="仿宋" w:eastAsia="仿宋" w:cs="仿宋"/>
                <w:bCs/>
                <w:color w:val="auto"/>
                <w:sz w:val="24"/>
              </w:rPr>
              <w:t>采购人</w:t>
            </w:r>
            <w:r>
              <w:rPr>
                <w:rFonts w:hint="eastAsia" w:ascii="仿宋" w:hAnsi="仿宋" w:eastAsia="仿宋" w:cs="仿宋"/>
                <w:color w:val="auto"/>
                <w:sz w:val="24"/>
              </w:rPr>
              <w:t>不组织现场考察和召开答疑会。</w:t>
            </w:r>
          </w:p>
          <w:p>
            <w:pPr>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采购人认为有必要，另行书面通知。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11</w:t>
            </w:r>
          </w:p>
        </w:tc>
        <w:tc>
          <w:tcPr>
            <w:tcW w:w="2093" w:type="dxa"/>
            <w:vAlign w:val="center"/>
          </w:tcPr>
          <w:p>
            <w:pPr>
              <w:pStyle w:val="82"/>
              <w:spacing w:afterLines="20" w:line="400" w:lineRule="exact"/>
              <w:ind w:left="0" w:leftChars="0" w:right="42" w:rightChars="20" w:firstLine="0" w:firstLineChars="0"/>
              <w:jc w:val="center"/>
              <w:rPr>
                <w:rFonts w:ascii="仿宋" w:hAnsi="仿宋" w:eastAsia="仿宋" w:cs="仿宋"/>
                <w:bCs/>
                <w:color w:val="auto"/>
                <w:kern w:val="2"/>
              </w:rPr>
            </w:pPr>
            <w:r>
              <w:rPr>
                <w:rFonts w:hint="eastAsia" w:ascii="仿宋" w:hAnsi="仿宋" w:eastAsia="仿宋" w:cs="仿宋"/>
                <w:color w:val="auto"/>
                <w:kern w:val="2"/>
              </w:rPr>
              <w:t>采购文件咨询</w:t>
            </w:r>
          </w:p>
        </w:tc>
        <w:tc>
          <w:tcPr>
            <w:tcW w:w="6705" w:type="dxa"/>
            <w:vAlign w:val="center"/>
          </w:tcPr>
          <w:p>
            <w:pPr>
              <w:spacing w:afterLines="20" w:line="400" w:lineRule="exact"/>
              <w:ind w:left="42" w:leftChars="20" w:right="42" w:rightChars="20" w:firstLine="240" w:firstLineChars="100"/>
              <w:rPr>
                <w:rFonts w:ascii="仿宋" w:hAnsi="仿宋" w:eastAsia="仿宋" w:cs="仿宋"/>
                <w:color w:val="auto"/>
                <w:sz w:val="24"/>
                <w:lang w:val="zh-CN"/>
              </w:rPr>
            </w:pPr>
            <w:r>
              <w:rPr>
                <w:rFonts w:hint="eastAsia" w:ascii="仿宋" w:hAnsi="仿宋" w:eastAsia="仿宋" w:cs="仿宋"/>
                <w:color w:val="auto"/>
                <w:sz w:val="24"/>
              </w:rPr>
              <w:t>联 系 人：牟女士</w:t>
            </w:r>
            <w:r>
              <w:rPr>
                <w:rFonts w:hint="eastAsia" w:ascii="仿宋" w:hAnsi="仿宋" w:eastAsia="仿宋" w:cs="仿宋"/>
                <w:color w:val="auto"/>
                <w:sz w:val="24"/>
                <w:lang w:val="zh-CN"/>
              </w:rPr>
              <w:t>；</w:t>
            </w:r>
          </w:p>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color w:val="auto"/>
                <w:sz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12</w:t>
            </w:r>
          </w:p>
        </w:tc>
        <w:tc>
          <w:tcPr>
            <w:tcW w:w="2093" w:type="dxa"/>
            <w:vAlign w:val="center"/>
          </w:tcPr>
          <w:p>
            <w:pPr>
              <w:pStyle w:val="82"/>
              <w:spacing w:afterLines="20" w:line="400" w:lineRule="exact"/>
              <w:ind w:left="0" w:leftChars="0" w:right="42" w:rightChars="20" w:firstLine="0" w:firstLineChars="0"/>
              <w:jc w:val="center"/>
              <w:rPr>
                <w:rFonts w:ascii="仿宋" w:hAnsi="仿宋" w:eastAsia="仿宋" w:cs="仿宋"/>
                <w:bCs/>
                <w:color w:val="auto"/>
                <w:kern w:val="2"/>
              </w:rPr>
            </w:pPr>
            <w:r>
              <w:rPr>
                <w:rFonts w:hint="eastAsia" w:ascii="仿宋" w:hAnsi="仿宋" w:eastAsia="仿宋" w:cs="仿宋"/>
                <w:color w:val="auto"/>
                <w:kern w:val="2"/>
              </w:rPr>
              <w:t>谈判、评审工作咨询</w:t>
            </w:r>
          </w:p>
        </w:tc>
        <w:tc>
          <w:tcPr>
            <w:tcW w:w="6705" w:type="dxa"/>
            <w:vAlign w:val="center"/>
          </w:tcPr>
          <w:p>
            <w:pPr>
              <w:spacing w:afterLines="20" w:line="400" w:lineRule="exact"/>
              <w:ind w:left="42" w:leftChars="20" w:right="42" w:rightChars="20" w:firstLine="240" w:firstLineChars="100"/>
              <w:rPr>
                <w:rFonts w:ascii="仿宋" w:hAnsi="仿宋" w:eastAsia="仿宋" w:cs="仿宋"/>
                <w:color w:val="auto"/>
                <w:sz w:val="24"/>
              </w:rPr>
            </w:pPr>
            <w:r>
              <w:rPr>
                <w:rFonts w:hint="eastAsia" w:ascii="仿宋" w:hAnsi="仿宋" w:eastAsia="仿宋" w:cs="仿宋"/>
                <w:color w:val="auto"/>
                <w:sz w:val="24"/>
              </w:rPr>
              <w:t>联 系 人：牟女士；</w:t>
            </w:r>
          </w:p>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color w:val="auto"/>
                <w:sz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13</w:t>
            </w:r>
          </w:p>
        </w:tc>
        <w:tc>
          <w:tcPr>
            <w:tcW w:w="2093" w:type="dxa"/>
            <w:vAlign w:val="center"/>
          </w:tcPr>
          <w:p>
            <w:pPr>
              <w:tabs>
                <w:tab w:val="left" w:pos="7665"/>
              </w:tabs>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hAnsi="仿宋" w:eastAsia="仿宋" w:cs="仿宋"/>
                <w:bCs/>
                <w:color w:val="auto"/>
                <w:sz w:val="24"/>
              </w:rPr>
              <w:t>响应有效期</w:t>
            </w:r>
          </w:p>
          <w:p>
            <w:pPr>
              <w:tabs>
                <w:tab w:val="left" w:pos="7665"/>
              </w:tabs>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eastAsia="仿宋" w:cs="仿宋"/>
                <w:b/>
                <w:color w:val="auto"/>
                <w:sz w:val="24"/>
                <w:lang w:val="zh-CN"/>
              </w:rPr>
              <w:t>（实质性要求）</w:t>
            </w:r>
          </w:p>
        </w:tc>
        <w:tc>
          <w:tcPr>
            <w:tcW w:w="6705" w:type="dxa"/>
            <w:vAlign w:val="center"/>
          </w:tcPr>
          <w:p>
            <w:pPr>
              <w:tabs>
                <w:tab w:val="left" w:pos="7665"/>
              </w:tabs>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本项目响应</w:t>
            </w:r>
            <w:r>
              <w:rPr>
                <w:rFonts w:hint="eastAsia" w:ascii="仿宋" w:hAnsi="仿宋" w:eastAsia="仿宋" w:cs="仿宋"/>
                <w:bCs/>
                <w:color w:val="auto"/>
                <w:sz w:val="24"/>
                <w:lang w:val="zh-CN"/>
              </w:rPr>
              <w:t>有效期为递交响应文件截止之日起满</w:t>
            </w:r>
            <w:r>
              <w:rPr>
                <w:rFonts w:hint="eastAsia" w:ascii="仿宋" w:hAnsi="仿宋" w:eastAsia="仿宋" w:cs="仿宋"/>
                <w:bCs/>
                <w:color w:val="auto"/>
                <w:sz w:val="24"/>
              </w:rPr>
              <w:t>90天（从谈判之日起），</w:t>
            </w:r>
            <w:r>
              <w:rPr>
                <w:rFonts w:hint="eastAsia" w:ascii="仿宋" w:hAnsi="仿宋" w:eastAsia="仿宋" w:cs="仿宋"/>
                <w:bCs/>
                <w:color w:val="auto"/>
                <w:sz w:val="24"/>
                <w:lang w:val="zh-CN"/>
              </w:rPr>
              <w:t>响应文件响应</w:t>
            </w:r>
            <w:r>
              <w:rPr>
                <w:rFonts w:hint="eastAsia" w:ascii="仿宋" w:hAnsi="仿宋" w:eastAsia="仿宋" w:cs="仿宋"/>
                <w:bCs/>
                <w:color w:val="auto"/>
                <w:sz w:val="24"/>
              </w:rPr>
              <w:t>有效期不足将导致其响应文件无效。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14</w:t>
            </w:r>
          </w:p>
        </w:tc>
        <w:tc>
          <w:tcPr>
            <w:tcW w:w="2093" w:type="dxa"/>
            <w:vAlign w:val="center"/>
          </w:tcPr>
          <w:p>
            <w:pPr>
              <w:tabs>
                <w:tab w:val="left" w:pos="7665"/>
              </w:tabs>
              <w:spacing w:afterLines="20" w:line="400" w:lineRule="exact"/>
              <w:ind w:left="0" w:leftChars="0" w:right="42" w:rightChars="20"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响应文件份数</w:t>
            </w:r>
          </w:p>
          <w:p>
            <w:pPr>
              <w:tabs>
                <w:tab w:val="left" w:pos="7665"/>
              </w:tabs>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eastAsia="仿宋" w:cs="仿宋"/>
                <w:b/>
                <w:color w:val="auto"/>
                <w:sz w:val="24"/>
                <w:lang w:val="zh-CN"/>
              </w:rPr>
              <w:t>（实质性要求）</w:t>
            </w:r>
          </w:p>
        </w:tc>
        <w:tc>
          <w:tcPr>
            <w:tcW w:w="6705" w:type="dxa"/>
            <w:vAlign w:val="center"/>
          </w:tcPr>
          <w:p>
            <w:pPr>
              <w:tabs>
                <w:tab w:val="left" w:pos="7665"/>
              </w:tabs>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资格性响应文件1式3份（其中正本1份、副本2份）；</w:t>
            </w:r>
          </w:p>
          <w:p>
            <w:pPr>
              <w:tabs>
                <w:tab w:val="left" w:pos="7665"/>
              </w:tabs>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其他响应文件1式3份（其中正本1份、副本2份）;</w:t>
            </w:r>
          </w:p>
          <w:p>
            <w:pPr>
              <w:tabs>
                <w:tab w:val="left" w:pos="7665"/>
              </w:tabs>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报价响应文件1份；</w:t>
            </w:r>
          </w:p>
          <w:p>
            <w:pPr>
              <w:tabs>
                <w:tab w:val="left" w:pos="7665"/>
              </w:tabs>
              <w:spacing w:afterLines="20" w:line="400" w:lineRule="exact"/>
              <w:ind w:left="42" w:leftChars="20" w:right="42" w:rightChars="20" w:firstLine="240" w:firstLineChars="100"/>
              <w:jc w:val="left"/>
              <w:rPr>
                <w:rFonts w:ascii="仿宋" w:hAnsi="仿宋" w:eastAsia="仿宋" w:cs="仿宋"/>
                <w:bCs/>
                <w:color w:val="auto"/>
                <w:sz w:val="24"/>
              </w:rPr>
            </w:pPr>
            <w:r>
              <w:rPr>
                <w:rFonts w:hint="eastAsia" w:ascii="仿宋" w:hAnsi="仿宋" w:eastAsia="仿宋" w:cs="仿宋"/>
                <w:bCs/>
                <w:color w:val="auto"/>
                <w:sz w:val="24"/>
              </w:rPr>
              <w:t>响应文件电子文档（U盘）1份。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15</w:t>
            </w:r>
          </w:p>
        </w:tc>
        <w:tc>
          <w:tcPr>
            <w:tcW w:w="2093" w:type="dxa"/>
            <w:vAlign w:val="center"/>
          </w:tcPr>
          <w:p>
            <w:pPr>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hAnsi="仿宋" w:eastAsia="仿宋" w:cs="仿宋"/>
                <w:bCs/>
                <w:color w:val="auto"/>
                <w:sz w:val="24"/>
              </w:rPr>
              <w:t>成交通知书领取</w:t>
            </w:r>
          </w:p>
        </w:tc>
        <w:tc>
          <w:tcPr>
            <w:tcW w:w="6705" w:type="dxa"/>
            <w:vAlign w:val="center"/>
          </w:tcPr>
          <w:p>
            <w:pPr>
              <w:tabs>
                <w:tab w:val="left" w:pos="7665"/>
              </w:tabs>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采购结果在四川招投标网</w:t>
            </w:r>
            <w:r>
              <w:rPr>
                <w:rFonts w:hint="eastAsia" w:ascii="仿宋" w:hAnsi="仿宋" w:eastAsia="仿宋"/>
                <w:color w:val="auto"/>
                <w:spacing w:val="-2"/>
                <w:sz w:val="24"/>
              </w:rPr>
              <w:t>（www.scbid.com）</w:t>
            </w:r>
            <w:r>
              <w:rPr>
                <w:rFonts w:hint="eastAsia" w:ascii="仿宋" w:hAnsi="仿宋" w:eastAsia="仿宋" w:cs="仿宋"/>
                <w:bCs/>
                <w:color w:val="auto"/>
                <w:sz w:val="24"/>
              </w:rPr>
              <w:t>上公示后，</w:t>
            </w:r>
            <w:r>
              <w:rPr>
                <w:rFonts w:hint="eastAsia" w:ascii="仿宋" w:hAnsi="仿宋" w:eastAsia="仿宋" w:cs="仿宋"/>
                <w:color w:val="auto"/>
                <w:sz w:val="24"/>
                <w:lang w:val="zh-CN"/>
              </w:rPr>
              <w:t>请成交供应商凭有效身份证明证件到采购代理机构办理完代理服务费交费手续后领取成交通知书。</w:t>
            </w:r>
          </w:p>
          <w:p>
            <w:pPr>
              <w:tabs>
                <w:tab w:val="left" w:pos="7665"/>
              </w:tabs>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联 系 人：张女士</w:t>
            </w:r>
          </w:p>
          <w:p>
            <w:pPr>
              <w:tabs>
                <w:tab w:val="left" w:pos="7665"/>
              </w:tabs>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联系电话：0813-2220079</w:t>
            </w:r>
          </w:p>
          <w:p>
            <w:pPr>
              <w:tabs>
                <w:tab w:val="left" w:pos="7665"/>
              </w:tabs>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地址：</w:t>
            </w:r>
            <w:r>
              <w:rPr>
                <w:rFonts w:hint="eastAsia" w:ascii="仿宋" w:hAnsi="仿宋" w:eastAsia="仿宋" w:cs="仿宋"/>
                <w:color w:val="auto"/>
                <w:spacing w:val="-2"/>
                <w:sz w:val="24"/>
              </w:rPr>
              <w:t>自贡市自流井区汇东丹桂大街蓝鹰海岸综合楼二楼</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16</w:t>
            </w:r>
          </w:p>
        </w:tc>
        <w:tc>
          <w:tcPr>
            <w:tcW w:w="2093" w:type="dxa"/>
            <w:vAlign w:val="center"/>
          </w:tcPr>
          <w:p>
            <w:pPr>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hAnsi="仿宋" w:eastAsia="仿宋" w:cs="仿宋"/>
                <w:bCs/>
                <w:color w:val="auto"/>
                <w:sz w:val="24"/>
              </w:rPr>
              <w:t>采购代理服务费</w:t>
            </w:r>
            <w:r>
              <w:rPr>
                <w:rFonts w:hint="eastAsia" w:ascii="仿宋" w:eastAsia="仿宋" w:cs="仿宋"/>
                <w:b/>
                <w:color w:val="auto"/>
                <w:sz w:val="24"/>
                <w:lang w:val="zh-CN"/>
              </w:rPr>
              <w:t>（实质性要求）</w:t>
            </w:r>
          </w:p>
        </w:tc>
        <w:tc>
          <w:tcPr>
            <w:tcW w:w="6705" w:type="dxa"/>
            <w:vAlign w:val="center"/>
          </w:tcPr>
          <w:p>
            <w:pPr>
              <w:pStyle w:val="82"/>
              <w:spacing w:afterLines="20" w:line="400" w:lineRule="exact"/>
              <w:ind w:left="42" w:leftChars="20" w:right="42" w:rightChars="20" w:firstLine="240" w:firstLineChars="100"/>
              <w:jc w:val="both"/>
              <w:rPr>
                <w:rFonts w:ascii="仿宋" w:hAnsi="仿宋" w:eastAsia="仿宋" w:cs="仿宋"/>
                <w:bCs/>
                <w:color w:val="auto"/>
                <w:kern w:val="2"/>
                <w:lang w:val="zh-CN"/>
              </w:rPr>
            </w:pPr>
            <w:r>
              <w:rPr>
                <w:rFonts w:hint="eastAsia" w:ascii="仿宋" w:hAnsi="仿宋" w:eastAsia="仿宋" w:cs="仿宋"/>
                <w:bCs/>
                <w:color w:val="auto"/>
                <w:kern w:val="2"/>
                <w:lang w:val="zh-CN"/>
              </w:rPr>
              <w:t>本项目预算已包含采购代理服务费,根据委托代理协议约定，本项目采购代理服务费按照</w:t>
            </w:r>
            <w:r>
              <w:rPr>
                <w:rFonts w:hint="eastAsia" w:ascii="仿宋" w:hAnsi="仿宋" w:eastAsia="仿宋" w:cs="仿宋"/>
                <w:bCs/>
                <w:color w:val="auto"/>
                <w:kern w:val="2"/>
              </w:rPr>
              <w:t>3000.00</w:t>
            </w:r>
            <w:r>
              <w:rPr>
                <w:rFonts w:hint="eastAsia" w:ascii="仿宋" w:hAnsi="仿宋" w:eastAsia="仿宋" w:cs="仿宋"/>
                <w:bCs/>
                <w:color w:val="auto"/>
                <w:kern w:val="2"/>
                <w:lang w:val="zh-CN"/>
              </w:rPr>
              <w:t>元收取，由成交供应商支付。</w:t>
            </w:r>
          </w:p>
          <w:p>
            <w:pPr>
              <w:pStyle w:val="82"/>
              <w:spacing w:afterLines="20" w:line="400" w:lineRule="exact"/>
              <w:ind w:left="42" w:leftChars="20" w:right="42" w:rightChars="20" w:firstLine="240" w:firstLineChars="100"/>
              <w:jc w:val="both"/>
              <w:rPr>
                <w:rFonts w:ascii="仿宋" w:hAnsi="仿宋" w:eastAsia="仿宋" w:cs="仿宋"/>
                <w:bCs/>
                <w:color w:val="auto"/>
                <w:kern w:val="2"/>
                <w:lang w:val="zh-CN"/>
              </w:rPr>
            </w:pPr>
            <w:r>
              <w:rPr>
                <w:rFonts w:hint="eastAsia" w:ascii="仿宋" w:hAnsi="仿宋" w:eastAsia="仿宋" w:cs="仿宋"/>
                <w:bCs/>
                <w:color w:val="auto"/>
                <w:kern w:val="2"/>
                <w:lang w:val="zh-CN"/>
              </w:rPr>
              <w:t>代理服务费收款账户：</w:t>
            </w:r>
          </w:p>
          <w:p>
            <w:pPr>
              <w:pStyle w:val="82"/>
              <w:spacing w:afterLines="20" w:line="400" w:lineRule="exact"/>
              <w:ind w:left="42" w:leftChars="20" w:right="42" w:rightChars="20" w:firstLine="240" w:firstLineChars="100"/>
              <w:jc w:val="both"/>
              <w:rPr>
                <w:rFonts w:ascii="仿宋" w:hAnsi="仿宋" w:eastAsia="仿宋" w:cs="仿宋"/>
                <w:bCs/>
                <w:color w:val="auto"/>
                <w:kern w:val="2"/>
                <w:lang w:val="zh-CN"/>
              </w:rPr>
            </w:pPr>
            <w:r>
              <w:rPr>
                <w:rFonts w:hint="eastAsia" w:ascii="仿宋" w:hAnsi="仿宋" w:eastAsia="仿宋" w:cs="仿宋"/>
                <w:bCs/>
                <w:color w:val="auto"/>
                <w:kern w:val="2"/>
                <w:lang w:val="zh-CN"/>
              </w:rPr>
              <w:t>户    名：四川久润招投标代理有限公司</w:t>
            </w:r>
          </w:p>
          <w:p>
            <w:pPr>
              <w:pStyle w:val="82"/>
              <w:spacing w:afterLines="20" w:line="400" w:lineRule="exact"/>
              <w:ind w:left="42" w:leftChars="20" w:right="42" w:rightChars="20" w:firstLine="240" w:firstLineChars="100"/>
              <w:jc w:val="both"/>
              <w:rPr>
                <w:rFonts w:ascii="仿宋" w:hAnsi="仿宋" w:eastAsia="仿宋" w:cs="仿宋"/>
                <w:bCs/>
                <w:color w:val="auto"/>
                <w:kern w:val="2"/>
                <w:lang w:val="zh-CN"/>
              </w:rPr>
            </w:pPr>
            <w:r>
              <w:rPr>
                <w:rFonts w:hint="eastAsia" w:ascii="仿宋" w:hAnsi="仿宋" w:eastAsia="仿宋" w:cs="仿宋"/>
                <w:bCs/>
                <w:color w:val="auto"/>
                <w:kern w:val="2"/>
                <w:lang w:val="zh-CN"/>
              </w:rPr>
              <w:t>帐    号：102012000001139849</w:t>
            </w:r>
          </w:p>
          <w:p>
            <w:pPr>
              <w:pStyle w:val="82"/>
              <w:spacing w:afterLines="20" w:line="400" w:lineRule="exact"/>
              <w:ind w:left="42" w:leftChars="20" w:right="42" w:rightChars="20" w:firstLine="240" w:firstLineChars="100"/>
              <w:jc w:val="left"/>
              <w:rPr>
                <w:rFonts w:ascii="仿宋" w:hAnsi="仿宋" w:eastAsia="仿宋" w:cs="仿宋"/>
                <w:bCs/>
                <w:color w:val="auto"/>
                <w:kern w:val="2"/>
                <w:lang w:val="zh-CN"/>
              </w:rPr>
            </w:pPr>
            <w:r>
              <w:rPr>
                <w:rFonts w:hint="eastAsia" w:ascii="仿宋" w:hAnsi="仿宋" w:eastAsia="仿宋" w:cs="仿宋"/>
                <w:bCs/>
                <w:color w:val="auto"/>
                <w:kern w:val="2"/>
                <w:lang w:val="zh-CN"/>
              </w:rPr>
              <w:t>开 户 行：自贡银行股份有限公司营业部</w:t>
            </w:r>
          </w:p>
          <w:p>
            <w:pPr>
              <w:pStyle w:val="82"/>
              <w:spacing w:afterLines="20" w:line="400" w:lineRule="exact"/>
              <w:ind w:left="42" w:leftChars="20" w:right="42" w:rightChars="20" w:firstLine="240" w:firstLineChars="100"/>
              <w:jc w:val="both"/>
              <w:rPr>
                <w:rFonts w:ascii="仿宋" w:hAnsi="仿宋" w:eastAsia="仿宋" w:cs="仿宋"/>
                <w:color w:val="auto"/>
                <w:kern w:val="2"/>
              </w:rPr>
            </w:pPr>
            <w:r>
              <w:rPr>
                <w:rFonts w:hint="eastAsia" w:ascii="仿宋" w:hAnsi="仿宋" w:eastAsia="仿宋" w:cs="仿宋"/>
                <w:bCs/>
                <w:color w:val="auto"/>
                <w:kern w:val="2"/>
                <w:lang w:val="zh-CN"/>
              </w:rPr>
              <w:t>联系电话：0813-2220079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17</w:t>
            </w:r>
          </w:p>
        </w:tc>
        <w:tc>
          <w:tcPr>
            <w:tcW w:w="2093" w:type="dxa"/>
            <w:vAlign w:val="center"/>
          </w:tcPr>
          <w:p>
            <w:pPr>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hAnsi="仿宋" w:eastAsia="仿宋" w:cs="仿宋"/>
                <w:bCs/>
                <w:color w:val="auto"/>
                <w:sz w:val="24"/>
              </w:rPr>
              <w:t>本次采购活动适用法律、法规的特别约定和说明</w:t>
            </w:r>
          </w:p>
        </w:tc>
        <w:tc>
          <w:tcPr>
            <w:tcW w:w="6705" w:type="dxa"/>
            <w:vAlign w:val="center"/>
          </w:tcPr>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bCs/>
                <w:color w:val="auto"/>
                <w:sz w:val="24"/>
              </w:rPr>
              <w:t>2、 本采购活动不受《中华人民共和国政府采购法》、《中华人民共和国政府采购法实施条例》及其相关政府采购法律、法规制度的调整约束。竞标人愿意接受本采购文件之要约内容，即参与采购活动；不能接受本采购文件之要约内容，则无需参与；本项目不接受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18</w:t>
            </w:r>
          </w:p>
        </w:tc>
        <w:tc>
          <w:tcPr>
            <w:tcW w:w="2093" w:type="dxa"/>
            <w:vAlign w:val="center"/>
          </w:tcPr>
          <w:p>
            <w:pPr>
              <w:spacing w:afterLines="20" w:line="400" w:lineRule="exact"/>
              <w:ind w:left="0" w:leftChars="0" w:right="42" w:rightChars="20" w:firstLine="0" w:firstLineChars="0"/>
              <w:jc w:val="center"/>
              <w:rPr>
                <w:rFonts w:ascii="仿宋" w:hAnsi="仿宋" w:eastAsia="仿宋" w:cs="仿宋"/>
                <w:bCs/>
                <w:color w:val="auto"/>
                <w:sz w:val="24"/>
              </w:rPr>
            </w:pPr>
            <w:r>
              <w:rPr>
                <w:rFonts w:hint="eastAsia" w:ascii="仿宋" w:hAnsi="仿宋" w:eastAsia="仿宋" w:cs="仿宋"/>
                <w:color w:val="auto"/>
                <w:sz w:val="24"/>
              </w:rPr>
              <w:t>确定供应商的程序及规则</w:t>
            </w:r>
          </w:p>
        </w:tc>
        <w:tc>
          <w:tcPr>
            <w:tcW w:w="6705" w:type="dxa"/>
            <w:vAlign w:val="center"/>
          </w:tcPr>
          <w:p>
            <w:pPr>
              <w:spacing w:afterLines="20" w:line="400" w:lineRule="exact"/>
              <w:ind w:left="42" w:leftChars="20" w:right="42" w:rightChars="20" w:firstLine="240" w:firstLineChars="100"/>
              <w:rPr>
                <w:rFonts w:ascii="仿宋" w:hAnsi="仿宋" w:eastAsia="仿宋" w:cs="仿宋"/>
                <w:bCs/>
                <w:color w:val="auto"/>
                <w:sz w:val="24"/>
              </w:rPr>
            </w:pPr>
            <w:r>
              <w:rPr>
                <w:rFonts w:hint="eastAsia" w:ascii="仿宋" w:hAnsi="仿宋" w:eastAsia="仿宋" w:cs="仿宋"/>
                <w:color w:val="auto"/>
                <w:sz w:val="24"/>
              </w:rPr>
              <w:t>本次采购活动，采购人和代理机构为了公平起见，参考了政府采购法规制度中的部分评审程序和评审方法来评审确定成交供应商。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19</w:t>
            </w:r>
          </w:p>
        </w:tc>
        <w:tc>
          <w:tcPr>
            <w:tcW w:w="2093" w:type="dxa"/>
            <w:vAlign w:val="center"/>
          </w:tcPr>
          <w:p>
            <w:pPr>
              <w:pStyle w:val="82"/>
              <w:widowControl/>
              <w:spacing w:afterLines="20" w:line="400" w:lineRule="exact"/>
              <w:ind w:left="0" w:leftChars="0" w:right="42" w:rightChars="20" w:firstLine="0" w:firstLineChars="0"/>
              <w:jc w:val="center"/>
              <w:rPr>
                <w:rFonts w:ascii="仿宋" w:hAnsi="仿宋" w:eastAsia="仿宋" w:cs="仿宋"/>
                <w:color w:val="auto"/>
                <w:kern w:val="2"/>
              </w:rPr>
            </w:pPr>
            <w:r>
              <w:rPr>
                <w:rFonts w:hint="eastAsia" w:ascii="仿宋" w:hAnsi="仿宋" w:eastAsia="仿宋" w:cs="仿宋"/>
                <w:color w:val="auto"/>
              </w:rPr>
              <w:t>信用记录查询及使用</w:t>
            </w:r>
          </w:p>
          <w:p>
            <w:pPr>
              <w:pStyle w:val="82"/>
              <w:keepNext w:val="0"/>
              <w:widowControl/>
              <w:spacing w:afterLines="20" w:line="400" w:lineRule="exact"/>
              <w:ind w:left="42" w:leftChars="20" w:right="42" w:rightChars="20" w:firstLine="241" w:firstLineChars="100"/>
              <w:jc w:val="center"/>
              <w:outlineLvl w:val="9"/>
              <w:rPr>
                <w:rFonts w:ascii="仿宋" w:hAnsi="仿宋" w:eastAsia="仿宋" w:cs="仿宋"/>
                <w:b/>
                <w:color w:val="auto"/>
                <w:kern w:val="2"/>
              </w:rPr>
            </w:pPr>
          </w:p>
        </w:tc>
        <w:tc>
          <w:tcPr>
            <w:tcW w:w="6705" w:type="dxa"/>
            <w:vAlign w:val="center"/>
          </w:tcPr>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采购人、采购代理机构在供应商提交响应文件时间截止后，通过“信用中国”网站（www.creditchina.gov.cn）、“中国政府采购网”网站（www.ccgp.gov.cn）等渠道查询递交了响应文件的供应商的信用记录。经查询，截至响应文件提交截止日，列入失信被执行人、重大税收违法案件当事人名单、政府采购严重违法失信行为记录名单的供应商，不得参与本项目采购活动。</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以联合体形式参加本项目采购活动，联合体成员存在前述不良信用记录的，视同联合体存在前述不良信用记录，不得参与本项目采购活动。前述无效供应商的信用记录查询结果网页截图将予以保存。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20</w:t>
            </w:r>
          </w:p>
        </w:tc>
        <w:tc>
          <w:tcPr>
            <w:tcW w:w="2093" w:type="dxa"/>
            <w:vAlign w:val="center"/>
          </w:tcPr>
          <w:p>
            <w:pPr>
              <w:pStyle w:val="82"/>
              <w:spacing w:afterLines="20" w:line="400" w:lineRule="exact"/>
              <w:ind w:left="42" w:leftChars="20" w:right="42" w:rightChars="20"/>
              <w:jc w:val="center"/>
              <w:rPr>
                <w:rFonts w:ascii="仿宋" w:hAnsi="仿宋" w:eastAsia="仿宋" w:cs="仿宋"/>
                <w:color w:val="auto"/>
                <w:kern w:val="2"/>
              </w:rPr>
            </w:pPr>
            <w:r>
              <w:rPr>
                <w:rFonts w:hint="eastAsia" w:ascii="仿宋" w:hAnsi="仿宋" w:eastAsia="仿宋" w:cs="仿宋"/>
                <w:color w:val="auto"/>
              </w:rPr>
              <w:t>充分、公平竞争保障措施</w:t>
            </w:r>
          </w:p>
        </w:tc>
        <w:tc>
          <w:tcPr>
            <w:tcW w:w="6705" w:type="dxa"/>
            <w:vAlign w:val="center"/>
          </w:tcPr>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 xml:space="preserve">单位负责人为同一人或者存在直接控股、管理关系的不同供应商不得参加同一合同项下的采购活动。 </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不同供应商不得在同一合同项下的采购项目中，委托同一个自然人、同一单位的人员编制响应文件。</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不同供应商不得在同一合同项下的采购项目中，委托同一个自然人、同一单位的人员办理响应事宜。</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不同供应商的响应文件载明的项目管理成员或者联系人员不得为同一人。</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不同供应商的响应文件不得相互混装。</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本项目符合本条规定的供应商是：</w:t>
            </w:r>
            <w:r>
              <w:rPr>
                <w:rFonts w:hint="eastAsia" w:ascii="仿宋" w:hAnsi="仿宋" w:eastAsia="仿宋" w:cs="仿宋"/>
                <w:color w:val="auto"/>
                <w:u w:val="single"/>
              </w:rPr>
              <w:t xml:space="preserve">  无   </w:t>
            </w:r>
            <w:r>
              <w:rPr>
                <w:rFonts w:hint="eastAsia" w:ascii="仿宋" w:hAnsi="仿宋" w:eastAsia="仿宋" w:cs="仿宋"/>
                <w:color w:val="auto"/>
              </w:rPr>
              <w:t>。</w:t>
            </w:r>
          </w:p>
          <w:p>
            <w:pPr>
              <w:autoSpaceDE w:val="0"/>
              <w:autoSpaceDN w:val="0"/>
              <w:adjustRightInd w:val="0"/>
              <w:spacing w:afterLines="20" w:line="400" w:lineRule="exact"/>
              <w:ind w:left="42" w:leftChars="20" w:right="42" w:rightChars="20" w:firstLine="240" w:firstLineChars="100"/>
              <w:rPr>
                <w:rFonts w:ascii="仿宋" w:hAnsi="仿宋" w:eastAsia="仿宋" w:cs="仿宋"/>
                <w:color w:val="auto"/>
                <w:sz w:val="24"/>
              </w:rPr>
            </w:pPr>
            <w:r>
              <w:rPr>
                <w:rFonts w:hint="eastAsia" w:ascii="仿宋" w:hAnsi="仿宋" w:eastAsia="仿宋" w:cs="仿宋"/>
                <w:color w:val="auto"/>
                <w:sz w:val="24"/>
              </w:rPr>
              <w:t>本项目采购代理及其分支机构不得作为供应商参加本项目采购活动。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pPr>
              <w:pStyle w:val="82"/>
              <w:spacing w:afterLines="20" w:line="400" w:lineRule="exact"/>
              <w:ind w:left="42" w:leftChars="20" w:right="42" w:rightChars="20"/>
              <w:jc w:val="center"/>
              <w:rPr>
                <w:rFonts w:ascii="仿宋" w:hAnsi="仿宋" w:eastAsia="仿宋" w:cs="仿宋"/>
                <w:bCs/>
                <w:color w:val="auto"/>
                <w:kern w:val="2"/>
              </w:rPr>
            </w:pPr>
            <w:r>
              <w:rPr>
                <w:rFonts w:hint="eastAsia" w:ascii="仿宋" w:hAnsi="仿宋" w:eastAsia="仿宋" w:cs="仿宋"/>
                <w:bCs/>
                <w:color w:val="auto"/>
                <w:kern w:val="2"/>
              </w:rPr>
              <w:t>21</w:t>
            </w:r>
          </w:p>
        </w:tc>
        <w:tc>
          <w:tcPr>
            <w:tcW w:w="2093" w:type="dxa"/>
            <w:vAlign w:val="center"/>
          </w:tcPr>
          <w:p>
            <w:pPr>
              <w:pStyle w:val="87"/>
              <w:spacing w:afterLines="20" w:line="400" w:lineRule="exact"/>
              <w:ind w:left="42" w:leftChars="20" w:right="42" w:rightChars="20" w:firstLine="0" w:firstLineChars="0"/>
              <w:jc w:val="center"/>
              <w:rPr>
                <w:rFonts w:ascii="仿宋" w:hAnsi="仿宋" w:eastAsia="仿宋" w:cs="仿宋"/>
                <w:color w:val="auto"/>
                <w:szCs w:val="24"/>
              </w:rPr>
            </w:pPr>
            <w:r>
              <w:rPr>
                <w:rFonts w:hint="eastAsia" w:ascii="仿宋" w:hAnsi="仿宋" w:eastAsia="仿宋" w:cs="仿宋"/>
                <w:b/>
                <w:bCs/>
                <w:color w:val="auto"/>
                <w:sz w:val="24"/>
              </w:rPr>
              <w:t>其他特别约定事项</w:t>
            </w:r>
          </w:p>
        </w:tc>
        <w:tc>
          <w:tcPr>
            <w:tcW w:w="6705" w:type="dxa"/>
            <w:vAlign w:val="center"/>
          </w:tcPr>
          <w:p>
            <w:pPr>
              <w:pStyle w:val="82"/>
              <w:spacing w:afterLines="20" w:line="400" w:lineRule="exact"/>
              <w:ind w:left="42" w:leftChars="20" w:right="42" w:rightChars="20" w:firstLine="240" w:firstLineChars="100"/>
              <w:jc w:val="left"/>
              <w:rPr>
                <w:rFonts w:ascii="仿宋" w:hAnsi="仿宋" w:eastAsia="仿宋" w:cs="仿宋"/>
                <w:color w:val="auto"/>
                <w:kern w:val="2"/>
              </w:rPr>
            </w:pPr>
            <w:r>
              <w:rPr>
                <w:rFonts w:hint="eastAsia" w:ascii="仿宋" w:hAnsi="仿宋" w:eastAsia="仿宋" w:cs="仿宋"/>
                <w:color w:val="auto"/>
              </w:rPr>
              <w:t>评审委在对供应商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为了提高评审效率，评审中需要供应商进行现场谈判或书面答疑、澄清的，采购人或采购代理机构按供应商预留的联系方式通知到供应商后，供应商应当在自接到采购人或采购代理机构通知后</w:t>
            </w:r>
            <w:r>
              <w:rPr>
                <w:rFonts w:hint="eastAsia" w:ascii="仿宋" w:hAnsi="仿宋" w:eastAsia="仿宋" w:cs="仿宋"/>
                <w:b/>
                <w:bCs/>
                <w:color w:val="auto"/>
              </w:rPr>
              <w:t>30分钟内</w:t>
            </w:r>
            <w:r>
              <w:rPr>
                <w:rFonts w:hint="eastAsia" w:ascii="仿宋" w:hAnsi="仿宋" w:eastAsia="仿宋" w:cs="仿宋"/>
                <w:color w:val="auto"/>
              </w:rPr>
              <w:t>到达评审现场接受谈判或答疑、澄清，供应商未按此规定时间要求到达现场谈判或答疑、澄清的，视为放弃（或拒绝）谈判或答疑、澄清权，评审委有权作出不利于供应商的评判；若供应商不在开标现场且按其预留的联系方式无法通知到的，视为放弃（或拒绝）谈判或答疑、澄清权，评审委有权作出不利于供应商的评判，不利后果由供应商自行承担。</w:t>
            </w:r>
          </w:p>
        </w:tc>
      </w:tr>
    </w:tbl>
    <w:p>
      <w:pPr>
        <w:spacing w:beforeLines="100" w:afterLines="100"/>
        <w:ind w:firstLine="301" w:firstLineChars="100"/>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二、总 则</w:t>
      </w:r>
    </w:p>
    <w:p>
      <w:pPr>
        <w:spacing w:line="360" w:lineRule="auto"/>
        <w:ind w:firstLine="482" w:firstLineChars="200"/>
        <w:rPr>
          <w:rFonts w:ascii="仿宋" w:hAnsi="仿宋" w:eastAsia="仿宋" w:cs="仿宋"/>
          <w:b/>
          <w:color w:val="auto"/>
          <w:sz w:val="24"/>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本竞争性谈判文件仅适用于本次采购项目。</w:t>
      </w:r>
    </w:p>
    <w:p>
      <w:pPr>
        <w:spacing w:line="360" w:lineRule="auto"/>
        <w:ind w:firstLine="480"/>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2.有关定义</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2.1“采购人”系指富顺县中医医院；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2.2“采购代理机构”系指四川久润招投标代理有限公司；</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2.3“采购单位”系指“采购人”和“采购代理机构”的统称；</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2.4“供应商”系指响应谈判，</w:t>
      </w:r>
      <w:r>
        <w:rPr>
          <w:rFonts w:hint="eastAsia" w:ascii="仿宋" w:eastAsia="仿宋" w:cs="仿宋"/>
          <w:bCs/>
          <w:color w:val="auto"/>
          <w:sz w:val="24"/>
        </w:rPr>
        <w:t>拟向采购人提供货物、工程或者服务的法人、其他组织或者自然人</w:t>
      </w:r>
      <w:r>
        <w:rPr>
          <w:rFonts w:hint="eastAsia" w:ascii="仿宋" w:hAnsi="仿宋" w:eastAsia="仿宋" w:cs="仿宋"/>
          <w:bCs/>
          <w:color w:val="auto"/>
          <w:sz w:val="24"/>
        </w:rPr>
        <w:t>。</w:t>
      </w:r>
    </w:p>
    <w:p>
      <w:pPr>
        <w:spacing w:line="360" w:lineRule="auto"/>
        <w:ind w:firstLine="480"/>
        <w:rPr>
          <w:rFonts w:ascii="仿宋" w:hAnsi="仿宋" w:eastAsia="仿宋" w:cs="仿宋"/>
          <w:bCs/>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3.合格的供应商（实质性要求）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合格的供应商应具备以下条件：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（1）遵守国家有关的法律和法规，符合本竞争性谈判文件规定的供应商资格条件；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（2）不属于禁止参加本项目采购活动的供应商；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（3）按照规定获取了竞争性谈判文件，属于实质性参加采购活动的供应商。</w:t>
      </w:r>
    </w:p>
    <w:p>
      <w:pPr>
        <w:spacing w:line="360" w:lineRule="auto"/>
        <w:ind w:firstLine="482" w:firstLineChars="200"/>
        <w:rPr>
          <w:rFonts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4.谈判费用（实质性要求）</w:t>
      </w:r>
    </w:p>
    <w:p>
      <w:pPr>
        <w:spacing w:line="360" w:lineRule="auto"/>
        <w:ind w:firstLine="488"/>
        <w:rPr>
          <w:rFonts w:ascii="仿宋" w:hAnsi="仿宋" w:eastAsia="仿宋" w:cs="仿宋"/>
          <w:bCs/>
          <w:color w:val="auto"/>
          <w:sz w:val="24"/>
        </w:rPr>
      </w:pPr>
      <w:r>
        <w:rPr>
          <w:rFonts w:hint="eastAsia" w:ascii="仿宋" w:hAnsi="仿宋" w:eastAsia="仿宋" w:cs="仿宋"/>
          <w:bCs/>
          <w:color w:val="auto"/>
          <w:sz w:val="24"/>
        </w:rPr>
        <w:t>供应商应自行承担准备和参加谈判的全部费用。不论谈判的结果如何，采购单位均无义务和责任承担这些费用。</w:t>
      </w:r>
    </w:p>
    <w:p>
      <w:pPr>
        <w:spacing w:line="360" w:lineRule="auto"/>
        <w:ind w:firstLine="488"/>
        <w:rPr>
          <w:color w:val="auto"/>
        </w:rPr>
      </w:pPr>
    </w:p>
    <w:p>
      <w:pPr>
        <w:spacing w:line="360" w:lineRule="auto"/>
        <w:ind w:left="1" w:firstLine="482" w:firstLineChars="200"/>
        <w:rPr>
          <w:rFonts w:ascii="仿宋" w:eastAsia="仿宋" w:cs="仿宋"/>
          <w:color w:val="auto"/>
          <w:sz w:val="24"/>
        </w:rPr>
      </w:pPr>
      <w:r>
        <w:rPr>
          <w:rFonts w:hint="eastAsia" w:ascii="仿宋" w:hAnsi="仿宋" w:eastAsia="仿宋" w:cs="仿宋"/>
          <w:b/>
          <w:color w:val="auto"/>
          <w:sz w:val="24"/>
        </w:rPr>
        <w:t>5.回避（实质性要求）</w:t>
      </w:r>
    </w:p>
    <w:p>
      <w:pPr>
        <w:pStyle w:val="88"/>
        <w:spacing w:line="360" w:lineRule="auto"/>
        <w:ind w:left="1" w:firstLine="480" w:firstLineChars="200"/>
        <w:rPr>
          <w:rFonts w:ascii="仿宋" w:eastAsia="仿宋"/>
          <w:color w:val="auto"/>
          <w:sz w:val="24"/>
          <w:szCs w:val="24"/>
        </w:rPr>
      </w:pPr>
      <w:r>
        <w:rPr>
          <w:rFonts w:hint="eastAsia" w:ascii="仿宋" w:eastAsia="仿宋" w:cs="仿宋"/>
          <w:color w:val="auto"/>
          <w:sz w:val="24"/>
          <w:szCs w:val="24"/>
        </w:rPr>
        <w:t>5.1采购活动中，采购人员及相关人员与供应商有下列利害关系之一的，应当回避：</w:t>
      </w:r>
    </w:p>
    <w:p>
      <w:pPr>
        <w:pStyle w:val="88"/>
        <w:spacing w:line="360" w:lineRule="auto"/>
        <w:ind w:left="1" w:firstLine="480" w:firstLineChars="200"/>
        <w:rPr>
          <w:rFonts w:ascii="仿宋" w:eastAsia="仿宋"/>
          <w:color w:val="auto"/>
          <w:sz w:val="24"/>
          <w:szCs w:val="24"/>
        </w:rPr>
      </w:pPr>
      <w:r>
        <w:rPr>
          <w:rFonts w:hint="eastAsia" w:ascii="仿宋" w:eastAsia="仿宋" w:cs="仿宋"/>
          <w:bCs/>
          <w:color w:val="auto"/>
          <w:sz w:val="24"/>
        </w:rPr>
        <w:t>（1）</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年内与供应商存在劳动关系；</w:t>
      </w:r>
    </w:p>
    <w:p>
      <w:pPr>
        <w:pStyle w:val="88"/>
        <w:spacing w:line="360" w:lineRule="auto"/>
        <w:ind w:left="1" w:firstLine="480" w:firstLineChars="200"/>
        <w:rPr>
          <w:rFonts w:ascii="仿宋" w:eastAsia="仿宋"/>
          <w:color w:val="auto"/>
          <w:sz w:val="24"/>
          <w:szCs w:val="24"/>
        </w:rPr>
      </w:pPr>
      <w:r>
        <w:rPr>
          <w:rFonts w:hint="eastAsia" w:ascii="仿宋" w:eastAsia="仿宋" w:cs="仿宋"/>
          <w:bCs/>
          <w:color w:val="auto"/>
          <w:sz w:val="24"/>
        </w:rPr>
        <w:t>（2）</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年内担任供应商的董事、监事；</w:t>
      </w:r>
    </w:p>
    <w:p>
      <w:pPr>
        <w:pStyle w:val="88"/>
        <w:spacing w:line="360" w:lineRule="auto"/>
        <w:ind w:left="1" w:firstLine="480" w:firstLineChars="200"/>
        <w:rPr>
          <w:rFonts w:ascii="仿宋" w:eastAsia="仿宋"/>
          <w:color w:val="auto"/>
          <w:sz w:val="24"/>
          <w:szCs w:val="24"/>
        </w:rPr>
      </w:pPr>
      <w:r>
        <w:rPr>
          <w:rFonts w:hint="eastAsia" w:ascii="仿宋" w:eastAsia="仿宋" w:cs="仿宋"/>
          <w:bCs/>
          <w:color w:val="auto"/>
          <w:sz w:val="24"/>
        </w:rPr>
        <w:t>（3）</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年内是供应商的控股股东或者实际控制人；</w:t>
      </w:r>
    </w:p>
    <w:p>
      <w:pPr>
        <w:pStyle w:val="88"/>
        <w:spacing w:line="360" w:lineRule="auto"/>
        <w:ind w:left="1" w:firstLine="480" w:firstLineChars="200"/>
        <w:rPr>
          <w:rFonts w:ascii="仿宋" w:eastAsia="仿宋"/>
          <w:color w:val="auto"/>
          <w:sz w:val="24"/>
          <w:szCs w:val="24"/>
        </w:rPr>
      </w:pPr>
      <w:r>
        <w:rPr>
          <w:rFonts w:hint="eastAsia" w:ascii="仿宋" w:eastAsia="仿宋" w:cs="仿宋"/>
          <w:bCs/>
          <w:color w:val="auto"/>
          <w:sz w:val="24"/>
        </w:rPr>
        <w:t>（4）</w:t>
      </w:r>
      <w:r>
        <w:rPr>
          <w:rFonts w:hint="eastAsia" w:ascii="仿宋" w:eastAsia="仿宋" w:cs="仿宋"/>
          <w:color w:val="auto"/>
          <w:sz w:val="24"/>
          <w:szCs w:val="24"/>
        </w:rPr>
        <w:t>与供应商的法定代表人或者负责人有夫妻、直系血亲、三代以内旁系血亲或者近姻亲关系；</w:t>
      </w:r>
    </w:p>
    <w:p>
      <w:pPr>
        <w:pStyle w:val="88"/>
        <w:spacing w:line="360" w:lineRule="auto"/>
        <w:ind w:left="1" w:firstLine="480" w:firstLineChars="200"/>
        <w:rPr>
          <w:rFonts w:ascii="仿宋" w:eastAsia="仿宋"/>
          <w:color w:val="auto"/>
          <w:sz w:val="24"/>
          <w:szCs w:val="24"/>
        </w:rPr>
      </w:pPr>
      <w:r>
        <w:rPr>
          <w:rFonts w:hint="eastAsia" w:ascii="仿宋" w:eastAsia="仿宋" w:cs="仿宋"/>
          <w:bCs/>
          <w:color w:val="auto"/>
          <w:sz w:val="24"/>
        </w:rPr>
        <w:t>（5）</w:t>
      </w:r>
      <w:r>
        <w:rPr>
          <w:rFonts w:hint="eastAsia" w:ascii="仿宋" w:eastAsia="仿宋" w:cs="仿宋"/>
          <w:color w:val="auto"/>
          <w:sz w:val="24"/>
          <w:szCs w:val="24"/>
        </w:rPr>
        <w:t>与供应商有其他可能影响采购活动公平、公正进行的关系。</w:t>
      </w:r>
    </w:p>
    <w:p>
      <w:pPr>
        <w:pStyle w:val="88"/>
        <w:spacing w:line="360" w:lineRule="auto"/>
        <w:ind w:left="1" w:firstLine="480" w:firstLineChars="200"/>
        <w:rPr>
          <w:rFonts w:ascii="仿宋" w:eastAsia="仿宋"/>
          <w:color w:val="auto"/>
          <w:sz w:val="24"/>
          <w:szCs w:val="24"/>
        </w:rPr>
      </w:pPr>
      <w:r>
        <w:rPr>
          <w:rFonts w:hint="eastAsia" w:ascii="仿宋" w:eastAsia="仿宋" w:cs="仿宋"/>
          <w:color w:val="auto"/>
          <w:sz w:val="24"/>
          <w:szCs w:val="24"/>
        </w:rPr>
        <w:t>5.2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spacing w:line="360" w:lineRule="auto"/>
        <w:ind w:firstLine="480" w:firstLineChars="200"/>
        <w:rPr>
          <w:rFonts w:ascii="仿宋" w:hAnsi="仿宋" w:eastAsia="仿宋" w:cs="仿宋"/>
          <w:b/>
          <w:color w:val="auto"/>
          <w:sz w:val="24"/>
        </w:rPr>
      </w:pPr>
      <w:r>
        <w:rPr>
          <w:rFonts w:hint="eastAsia" w:ascii="仿宋" w:eastAsia="仿宋" w:cs="仿宋"/>
          <w:color w:val="auto"/>
          <w:sz w:val="24"/>
        </w:rPr>
        <w:t>5.3供应商认为采购人员及相关人员与其他供应商有利害关系的，可以向采购代理机构书面提出回避申请，并说明理由。采购代理机构将及时询问被申请回避人员，有利害关系的被申请回避人员应当回避。</w:t>
      </w:r>
    </w:p>
    <w:p>
      <w:pPr>
        <w:spacing w:beforeLines="100"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三、竞争性谈判文件</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6.竞争性谈判文件的构成</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（1）谈判邀请；</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（2）供应商谈判须知；</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（3）供应商的资格条件要求；</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（4）供应商应当提供的资格证明材料；</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（5）采购项目内容及商务要求；</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（6）谈判内容、谈判过程中可能实质性变动的内容；</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（7）响应文件主要格式要求；</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（8）评审办法；</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（9）采购合同（样例）；</w:t>
      </w:r>
    </w:p>
    <w:p>
      <w:pPr>
        <w:spacing w:line="360" w:lineRule="auto"/>
        <w:ind w:firstLine="480"/>
        <w:rPr>
          <w:rFonts w:ascii="仿宋" w:eastAsia="仿宋" w:cs="仿宋"/>
          <w:bCs/>
          <w:color w:val="auto"/>
          <w:sz w:val="24"/>
        </w:rPr>
      </w:pPr>
      <w:r>
        <w:rPr>
          <w:rFonts w:hint="eastAsia" w:ascii="仿宋" w:eastAsia="仿宋" w:cs="仿宋"/>
          <w:bCs/>
          <w:color w:val="auto"/>
          <w:sz w:val="24"/>
        </w:rPr>
        <w:t>（10）附件。</w:t>
      </w:r>
    </w:p>
    <w:p>
      <w:pPr>
        <w:pStyle w:val="2"/>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6.2供应商应认真阅读和充分理解谈判文件中所有的事项、格式条款和规范要求。并保证所提供的全部资料的真实性和有效性，一经发现有虚假行为的，将取消其参加谈判或成交资格，并承担相应的法律责任。</w:t>
      </w:r>
    </w:p>
    <w:p>
      <w:pPr>
        <w:spacing w:line="360" w:lineRule="auto"/>
        <w:ind w:firstLine="486"/>
        <w:rPr>
          <w:rFonts w:ascii="仿宋" w:hAnsi="仿宋" w:eastAsia="仿宋" w:cs="仿宋"/>
          <w:bCs/>
          <w:color w:val="auto"/>
          <w:sz w:val="24"/>
        </w:rPr>
      </w:pPr>
      <w:r>
        <w:rPr>
          <w:rFonts w:hint="eastAsia" w:ascii="仿宋" w:hAnsi="仿宋" w:eastAsia="仿宋" w:cs="仿宋"/>
          <w:bCs/>
          <w:color w:val="auto"/>
          <w:sz w:val="24"/>
        </w:rPr>
        <w:t>6.3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pPr>
        <w:spacing w:line="360" w:lineRule="auto"/>
        <w:ind w:firstLine="486"/>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7.竞争性谈判文件的澄清和修改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7.1在响应截止时间前，采购单位无论出于何种原因，可以对竞争性谈判文件进行澄清或者修改；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7.2采购单位对已发出的竞争性谈判文件进行澄清或者修改，将在竞争性谈判文件要求的提交响应文件截止时间1日前进行，并以书面形式将澄清或者修改的内容通知所有购买了竞争性谈判文件的供应商；</w:t>
      </w:r>
    </w:p>
    <w:p>
      <w:pPr>
        <w:tabs>
          <w:tab w:val="left" w:pos="720"/>
        </w:tabs>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7.3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spacing w:line="360" w:lineRule="auto"/>
        <w:ind w:firstLine="420"/>
        <w:rPr>
          <w:rFonts w:ascii="仿宋" w:hAnsi="仿宋" w:eastAsia="仿宋" w:cs="仿宋"/>
          <w:bCs/>
          <w:color w:val="auto"/>
          <w:sz w:val="24"/>
        </w:rPr>
      </w:pPr>
      <w:r>
        <w:rPr>
          <w:rFonts w:hint="eastAsia" w:ascii="仿宋" w:hAnsi="仿宋" w:eastAsia="仿宋" w:cs="仿宋"/>
          <w:bCs/>
          <w:color w:val="auto"/>
          <w:sz w:val="24"/>
        </w:rPr>
        <w:t>7.4任何对竞争性谈判文件的澄清均为竞争性谈判文件的组成部分，并具有同等的法律效力；</w:t>
      </w:r>
    </w:p>
    <w:p>
      <w:pPr>
        <w:spacing w:line="360" w:lineRule="auto"/>
        <w:ind w:firstLine="482"/>
        <w:rPr>
          <w:rFonts w:ascii="仿宋" w:hAnsi="仿宋" w:eastAsia="仿宋" w:cs="仿宋"/>
          <w:bCs/>
          <w:color w:val="auto"/>
          <w:sz w:val="24"/>
        </w:rPr>
      </w:pPr>
      <w:r>
        <w:rPr>
          <w:rFonts w:hint="eastAsia" w:ascii="仿宋" w:hAnsi="仿宋" w:eastAsia="仿宋" w:cs="仿宋"/>
          <w:bCs/>
          <w:color w:val="auto"/>
          <w:sz w:val="24"/>
        </w:rPr>
        <w:t>7.5供应商要求采购单位对竞争性谈判文件进行澄清的，均应在递交响应文件截止时间1日前按竞争性谈判文件中的联系方式，以书面形式通知采购代理机构。</w:t>
      </w:r>
    </w:p>
    <w:p>
      <w:pPr>
        <w:spacing w:line="360" w:lineRule="auto"/>
        <w:ind w:firstLine="482"/>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8.答疑会和现场考察</w:t>
      </w:r>
    </w:p>
    <w:p>
      <w:pPr>
        <w:widowControl/>
        <w:spacing w:line="360" w:lineRule="auto"/>
        <w:ind w:firstLine="480" w:firstLineChars="200"/>
        <w:rPr>
          <w:color w:val="auto"/>
          <w:sz w:val="24"/>
        </w:rPr>
      </w:pPr>
      <w:r>
        <w:rPr>
          <w:rFonts w:hint="eastAsia" w:ascii="仿宋" w:hAnsi="仿宋" w:eastAsia="仿宋" w:cs="仿宋"/>
          <w:bCs/>
          <w:color w:val="auto"/>
          <w:sz w:val="24"/>
        </w:rPr>
        <w:t>8.1</w:t>
      </w:r>
      <w:r>
        <w:rPr>
          <w:rFonts w:ascii="仿宋" w:hAnsi="仿宋" w:eastAsia="仿宋" w:cs="仿宋"/>
          <w:color w:val="auto"/>
          <w:kern w:val="0"/>
          <w:sz w:val="24"/>
        </w:rPr>
        <w:t>根据采购项目和具体情况，采购人、采购代理机构认为有必要，可以在</w:t>
      </w:r>
      <w:r>
        <w:rPr>
          <w:rFonts w:hint="eastAsia" w:ascii="仿宋" w:hAnsi="仿宋" w:eastAsia="仿宋" w:cs="仿宋"/>
          <w:color w:val="auto"/>
          <w:kern w:val="0"/>
          <w:sz w:val="24"/>
        </w:rPr>
        <w:t>谈判</w:t>
      </w:r>
      <w:r>
        <w:rPr>
          <w:rFonts w:ascii="仿宋" w:hAnsi="仿宋" w:eastAsia="仿宋" w:cs="仿宋"/>
          <w:color w:val="auto"/>
          <w:kern w:val="0"/>
          <w:sz w:val="24"/>
        </w:rPr>
        <w:t>文件提</w:t>
      </w:r>
      <w:r>
        <w:rPr>
          <w:rFonts w:hint="eastAsia" w:ascii="仿宋" w:hAnsi="仿宋" w:eastAsia="仿宋" w:cs="仿宋"/>
          <w:color w:val="auto"/>
          <w:kern w:val="0"/>
          <w:sz w:val="24"/>
        </w:rPr>
        <w:t>供期限截止后响应文件提交截止前，组织已获取谈判文件的潜在供应商现场考察或者召开答疑会。</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8.2</w:t>
      </w:r>
      <w:r>
        <w:rPr>
          <w:rFonts w:hint="eastAsia" w:ascii="仿宋" w:hAnsi="仿宋" w:eastAsia="仿宋" w:cs="仿宋"/>
          <w:color w:val="auto"/>
          <w:sz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8.3供应商考察现场</w:t>
      </w:r>
      <w:r>
        <w:rPr>
          <w:rFonts w:hint="eastAsia" w:ascii="仿宋" w:hAnsi="仿宋" w:eastAsia="仿宋" w:cs="仿宋"/>
          <w:color w:val="auto"/>
          <w:sz w:val="24"/>
        </w:rPr>
        <w:t>或者参加答疑会</w:t>
      </w:r>
      <w:r>
        <w:rPr>
          <w:rFonts w:hint="eastAsia" w:ascii="仿宋" w:hAnsi="仿宋" w:eastAsia="仿宋" w:cs="仿宋"/>
          <w:bCs/>
          <w:color w:val="auto"/>
          <w:sz w:val="24"/>
        </w:rPr>
        <w:t>所发生的一切费用由供应商自己承担。</w:t>
      </w:r>
    </w:p>
    <w:p>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8.4本项目不组织现场考察和召开答疑会。</w:t>
      </w:r>
      <w:r>
        <w:rPr>
          <w:rFonts w:hint="eastAsia" w:ascii="仿宋" w:hAnsi="仿宋" w:eastAsia="仿宋" w:cs="仿宋"/>
          <w:bCs/>
          <w:color w:val="auto"/>
          <w:sz w:val="24"/>
        </w:rPr>
        <w:t>供应商认为有必要，可自行前往项目地点进行现场考察。</w:t>
      </w:r>
    </w:p>
    <w:p>
      <w:pPr>
        <w:widowControl/>
        <w:spacing w:beforeLines="100" w:afterLines="100" w:line="360" w:lineRule="auto"/>
        <w:jc w:val="center"/>
        <w:outlineLvl w:val="1"/>
        <w:rPr>
          <w:rFonts w:ascii="仿宋" w:hAnsi="仿宋" w:eastAsia="仿宋" w:cs="仿宋"/>
          <w:b/>
          <w:bCs/>
          <w:color w:val="auto"/>
          <w:sz w:val="24"/>
        </w:rPr>
      </w:pPr>
      <w:r>
        <w:rPr>
          <w:rFonts w:hint="eastAsia" w:ascii="仿宋" w:hAnsi="仿宋" w:eastAsia="仿宋" w:cs="仿宋"/>
          <w:b/>
          <w:color w:val="auto"/>
          <w:sz w:val="30"/>
          <w:szCs w:val="30"/>
        </w:rPr>
        <w:t>四、响应文件</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9.响应文件须知</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9.1响应文件的语言（实质性要求）</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9.1.1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9.1.2翻译的中文资料与外文资料如果出现差异和矛盾时，以中文为准。涉嫌虚假响应的按照相关法律法规处理。</w:t>
      </w:r>
    </w:p>
    <w:p>
      <w:pPr>
        <w:spacing w:line="360" w:lineRule="auto"/>
        <w:ind w:firstLine="480" w:firstLineChars="200"/>
        <w:rPr>
          <w:rFonts w:ascii="仿宋" w:eastAsia="仿宋"/>
          <w:color w:val="auto"/>
          <w:sz w:val="24"/>
        </w:rPr>
      </w:pPr>
      <w:r>
        <w:rPr>
          <w:rFonts w:hint="eastAsia" w:ascii="仿宋" w:eastAsia="仿宋" w:cs="仿宋"/>
          <w:color w:val="auto"/>
          <w:sz w:val="24"/>
        </w:rPr>
        <w:t>9</w:t>
      </w:r>
      <w:r>
        <w:rPr>
          <w:rFonts w:ascii="仿宋" w:eastAsia="仿宋" w:cs="仿宋"/>
          <w:color w:val="auto"/>
          <w:sz w:val="24"/>
        </w:rPr>
        <w:t>.</w:t>
      </w:r>
      <w:r>
        <w:rPr>
          <w:rFonts w:hint="eastAsia" w:ascii="仿宋" w:eastAsia="仿宋" w:cs="仿宋"/>
          <w:color w:val="auto"/>
          <w:sz w:val="24"/>
        </w:rPr>
        <w:t>1.</w:t>
      </w:r>
      <w:r>
        <w:rPr>
          <w:rFonts w:ascii="仿宋" w:eastAsia="仿宋" w:cs="仿宋"/>
          <w:color w:val="auto"/>
          <w:sz w:val="24"/>
        </w:rPr>
        <w:t xml:space="preserve">3 </w:t>
      </w:r>
      <w:r>
        <w:rPr>
          <w:rFonts w:hint="eastAsia" w:ascii="仿宋" w:eastAsia="仿宋" w:cs="仿宋"/>
          <w:color w:val="auto"/>
          <w:sz w:val="24"/>
        </w:rPr>
        <w:t>如因未翻译而造成的响应文件无效风险，由供应商承担。</w:t>
      </w:r>
    </w:p>
    <w:p>
      <w:pPr>
        <w:pStyle w:val="2"/>
        <w:spacing w:line="360" w:lineRule="auto"/>
        <w:ind w:firstLine="480"/>
        <w:rPr>
          <w:color w:val="auto"/>
        </w:rPr>
      </w:pP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9.2计量单位（实质性要求）</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除在</w:t>
      </w:r>
      <w:r>
        <w:rPr>
          <w:rFonts w:hint="eastAsia" w:ascii="仿宋" w:hAnsi="仿宋" w:eastAsia="仿宋" w:cs="仿宋"/>
          <w:bCs/>
          <w:color w:val="auto"/>
          <w:sz w:val="24"/>
        </w:rPr>
        <w:t>谈判</w:t>
      </w:r>
      <w:r>
        <w:rPr>
          <w:rFonts w:hint="eastAsia" w:ascii="仿宋" w:hAnsi="仿宋" w:eastAsia="仿宋" w:cs="仿宋"/>
          <w:color w:val="auto"/>
          <w:sz w:val="24"/>
        </w:rPr>
        <w:t>文件的技术规格中另有规定外，</w:t>
      </w:r>
      <w:r>
        <w:rPr>
          <w:rFonts w:hint="eastAsia" w:ascii="仿宋" w:hAnsi="仿宋" w:eastAsia="仿宋" w:cs="仿宋"/>
          <w:bCs/>
          <w:color w:val="auto"/>
          <w:sz w:val="24"/>
        </w:rPr>
        <w:t>本次采购项目所有合同项下的响应均采用</w:t>
      </w:r>
      <w:r>
        <w:rPr>
          <w:rFonts w:hint="eastAsia" w:ascii="仿宋" w:hAnsi="仿宋" w:eastAsia="仿宋" w:cs="仿宋"/>
          <w:color w:val="auto"/>
          <w:sz w:val="24"/>
        </w:rPr>
        <w:t>中华人民共和国法定计量单位。</w:t>
      </w:r>
    </w:p>
    <w:p>
      <w:pPr>
        <w:widowControl/>
        <w:spacing w:line="360" w:lineRule="auto"/>
        <w:ind w:firstLine="480"/>
        <w:jc w:val="left"/>
        <w:rPr>
          <w:rFonts w:ascii="仿宋" w:hAnsi="仿宋" w:eastAsia="仿宋" w:cs="仿宋"/>
          <w:b/>
          <w:bCs/>
          <w:color w:val="auto"/>
          <w:sz w:val="24"/>
        </w:rPr>
      </w:pPr>
    </w:p>
    <w:p>
      <w:pPr>
        <w:widowControl/>
        <w:spacing w:line="360" w:lineRule="auto"/>
        <w:ind w:firstLine="480"/>
        <w:jc w:val="left"/>
        <w:rPr>
          <w:rFonts w:ascii="仿宋" w:hAnsi="仿宋" w:eastAsia="仿宋" w:cs="仿宋"/>
          <w:color w:val="auto"/>
          <w:sz w:val="24"/>
        </w:rPr>
      </w:pPr>
      <w:r>
        <w:rPr>
          <w:rFonts w:hint="eastAsia" w:ascii="仿宋" w:hAnsi="仿宋" w:eastAsia="仿宋" w:cs="仿宋"/>
          <w:b/>
          <w:bCs/>
          <w:color w:val="auto"/>
          <w:sz w:val="24"/>
        </w:rPr>
        <w:t>9.3响应货币（实质性要求）</w:t>
      </w:r>
    </w:p>
    <w:p>
      <w:pPr>
        <w:widowControl/>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本次采购项目的响应计价货币均以人民币报价。</w:t>
      </w:r>
    </w:p>
    <w:p>
      <w:pPr>
        <w:widowControl/>
        <w:spacing w:line="360" w:lineRule="auto"/>
        <w:jc w:val="left"/>
        <w:rPr>
          <w:rFonts w:ascii="仿宋" w:hAnsi="仿宋" w:eastAsia="仿宋" w:cs="仿宋"/>
          <w:color w:val="auto"/>
          <w:sz w:val="24"/>
        </w:rPr>
      </w:pPr>
    </w:p>
    <w:p>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rPr>
        <w:t>9.4知识产权（实质性要求）</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9.4.1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9.4.2除非谈判文件特别规定，采购人享有本项目实施过程中产生的知识成果及知识产权。</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9.4.4如采用供应商所不拥有的知识产权，则在响应报价中必须包括合法获取该知识产权的相关费用。</w:t>
      </w:r>
    </w:p>
    <w:p>
      <w:pPr>
        <w:widowControl/>
        <w:spacing w:line="360" w:lineRule="auto"/>
        <w:ind w:firstLine="480"/>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9.5响应有效期</w:t>
      </w:r>
      <w:r>
        <w:rPr>
          <w:rFonts w:hint="eastAsia" w:ascii="仿宋" w:hAnsi="仿宋" w:eastAsia="仿宋" w:cs="仿宋"/>
          <w:b/>
          <w:bCs/>
          <w:color w:val="auto"/>
          <w:sz w:val="24"/>
        </w:rPr>
        <w:t>（实质性要求）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9.5.1本项目响应有效期为递交响应文件截止之日起满</w:t>
      </w:r>
      <w:r>
        <w:rPr>
          <w:rFonts w:hint="eastAsia" w:ascii="仿宋" w:hAnsi="仿宋" w:eastAsia="仿宋" w:cs="仿宋"/>
          <w:b/>
          <w:color w:val="auto"/>
          <w:sz w:val="24"/>
        </w:rPr>
        <w:t>90</w:t>
      </w:r>
      <w:r>
        <w:rPr>
          <w:rFonts w:hint="eastAsia" w:ascii="仿宋" w:hAnsi="仿宋" w:eastAsia="仿宋" w:cs="仿宋"/>
          <w:bCs/>
          <w:color w:val="auto"/>
          <w:sz w:val="24"/>
        </w:rPr>
        <w:t>天。供应商响应文件中必须载明响应有效期，响应文件中载明的响应有效期可以长于竞争性谈判文件规定的期限，但不得短于竞争性谈判文件规定的期限。否则，其响应文件将作为无效响应处理。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9.5.2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widowControl/>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9.5.3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widowControl/>
        <w:spacing w:line="360" w:lineRule="auto"/>
        <w:ind w:firstLine="420" w:firstLineChars="200"/>
        <w:rPr>
          <w:color w:val="auto"/>
        </w:rPr>
      </w:pPr>
    </w:p>
    <w:p>
      <w:pPr>
        <w:widowControl/>
        <w:numPr>
          <w:ilvl w:val="255"/>
          <w:numId w:val="0"/>
        </w:numPr>
        <w:spacing w:line="360" w:lineRule="auto"/>
        <w:ind w:firstLine="482" w:firstLineChars="200"/>
        <w:rPr>
          <w:color w:val="auto"/>
        </w:rPr>
      </w:pPr>
      <w:r>
        <w:rPr>
          <w:rFonts w:hint="eastAsia" w:ascii="仿宋" w:hAnsi="仿宋" w:eastAsia="仿宋" w:cs="仿宋"/>
          <w:b/>
          <w:color w:val="auto"/>
          <w:sz w:val="24"/>
        </w:rPr>
        <w:t xml:space="preserve">10.响应文件的组成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参加谈判的供应商按照竞争性谈判文件的要求准备响应文件，响应文件分为资格性响应文件、其他响应文件、报价响应文件和响应文件电子文档四部分。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注：以下有格式表的按格式表要求提供，无格式表的格式自拟。</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10.1资格性响应文件</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资格证明文件（详见第四章）。</w:t>
      </w:r>
      <w:r>
        <w:rPr>
          <w:rFonts w:hint="eastAsia" w:ascii="仿宋" w:hAnsi="仿宋" w:eastAsia="仿宋" w:cs="仿宋"/>
          <w:b/>
          <w:color w:val="auto"/>
          <w:sz w:val="24"/>
        </w:rPr>
        <w:t>(实质性要求）</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10.2其他响应文件</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10.2.1技术服务性响应部分</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供应商按照谈判文件要求做出的技术应答，主要是针对谈判项目的技术指标、参数、质量保证和服务要求做出的实质性响应和满足。供应商的技术服务响应包括但不限于下列内容：</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（1）技术服务应答表；</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（2）商务服务应答表；</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（3）拟派入本项目的主要实施人员情况表；</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（4）项目服务方案；</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（5）项目验收标准和验收方法。</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（6）其他有利于采购人或者供应商认为需要提供的文件和资料。</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10.2.2其他要求部分</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（1）供应商简介；</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（2）供应商基本情况表；</w:t>
      </w:r>
    </w:p>
    <w:p>
      <w:pPr>
        <w:widowControl/>
        <w:spacing w:line="360" w:lineRule="auto"/>
        <w:ind w:firstLine="480"/>
        <w:rPr>
          <w:rFonts w:ascii="仿宋" w:hAnsi="仿宋" w:eastAsia="仿宋" w:cs="仿宋"/>
          <w:b/>
          <w:color w:val="auto"/>
          <w:sz w:val="24"/>
        </w:rPr>
      </w:pPr>
      <w:r>
        <w:rPr>
          <w:rFonts w:hint="eastAsia" w:ascii="仿宋" w:hAnsi="仿宋" w:eastAsia="仿宋" w:cs="仿宋"/>
          <w:bCs/>
          <w:color w:val="auto"/>
          <w:sz w:val="24"/>
        </w:rPr>
        <w:t>（3）首轮报价一览表；</w:t>
      </w:r>
      <w:r>
        <w:rPr>
          <w:rFonts w:hint="eastAsia" w:ascii="仿宋" w:hAnsi="仿宋" w:eastAsia="仿宋" w:cs="仿宋"/>
          <w:b/>
          <w:color w:val="auto"/>
          <w:sz w:val="24"/>
        </w:rPr>
        <w:t>(实质性要求）</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（4）承诺函；</w:t>
      </w:r>
      <w:r>
        <w:rPr>
          <w:rFonts w:hint="eastAsia" w:ascii="仿宋" w:hAnsi="仿宋" w:eastAsia="仿宋" w:cs="仿宋"/>
          <w:b/>
          <w:color w:val="auto"/>
          <w:sz w:val="24"/>
        </w:rPr>
        <w:t>(实质性要求）</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（5）其他有利于供应商的服务承诺等。</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color w:val="auto"/>
          <w:sz w:val="24"/>
        </w:rPr>
        <w:t>10.3报价</w:t>
      </w:r>
      <w:r>
        <w:rPr>
          <w:rFonts w:hint="eastAsia" w:ascii="仿宋" w:hAnsi="仿宋" w:eastAsia="仿宋" w:cs="仿宋"/>
          <w:b/>
          <w:bCs/>
          <w:color w:val="auto"/>
          <w:sz w:val="24"/>
        </w:rPr>
        <w:t>响应文件</w:t>
      </w:r>
    </w:p>
    <w:p>
      <w:pPr>
        <w:pStyle w:val="116"/>
        <w:ind w:firstLine="480" w:firstLineChars="200"/>
        <w:rPr>
          <w:rFonts w:ascii="仿宋" w:hAnsi="仿宋" w:eastAsia="仿宋" w:cs="仿宋"/>
          <w:color w:val="auto"/>
          <w:sz w:val="24"/>
        </w:rPr>
      </w:pPr>
      <w:r>
        <w:rPr>
          <w:rFonts w:hint="eastAsia" w:ascii="仿宋" w:hAnsi="仿宋" w:eastAsia="仿宋" w:cs="仿宋"/>
          <w:color w:val="auto"/>
          <w:sz w:val="24"/>
        </w:rPr>
        <w:t>10.3.1</w:t>
      </w:r>
      <w:r>
        <w:rPr>
          <w:rFonts w:hint="eastAsia" w:ascii="仿宋" w:hAnsi="仿宋" w:eastAsia="仿宋" w:cs="仿宋"/>
          <w:bCs/>
          <w:color w:val="auto"/>
          <w:sz w:val="24"/>
          <w:szCs w:val="22"/>
        </w:rPr>
        <w:t>“多轮报价一览表”1份以上，“多轮报价一览表”报价部分建议留空，以供供应商现场填写多轮报价使用。</w:t>
      </w:r>
    </w:p>
    <w:p>
      <w:pPr>
        <w:pStyle w:val="116"/>
        <w:ind w:firstLine="480" w:firstLineChars="200"/>
        <w:rPr>
          <w:color w:val="auto"/>
        </w:rPr>
      </w:pPr>
      <w:r>
        <w:rPr>
          <w:rFonts w:hint="eastAsia" w:ascii="仿宋" w:hAnsi="仿宋" w:eastAsia="仿宋" w:cs="仿宋"/>
          <w:color w:val="auto"/>
          <w:sz w:val="24"/>
        </w:rPr>
        <w:t>谈判结束后，谈判小组要求供应商进行多轮报价时，由</w:t>
      </w:r>
      <w:r>
        <w:rPr>
          <w:rFonts w:hint="eastAsia" w:ascii="仿宋" w:hAnsi="仿宋" w:eastAsia="仿宋" w:cs="仿宋"/>
          <w:color w:val="auto"/>
          <w:sz w:val="24"/>
          <w:szCs w:val="24"/>
        </w:rPr>
        <w:t>供应商填写“多轮报价一览表”，并自行准备密封袋，以备评审现场根据要求填写后密封提交。经供应商法定代表人或代理人签字后密封递交给代理机构工作人员。由其收集齐后交由监督代表集中递交谈判小组。</w:t>
      </w:r>
    </w:p>
    <w:p>
      <w:pPr>
        <w:pStyle w:val="116"/>
        <w:ind w:firstLine="480" w:firstLineChars="200"/>
        <w:rPr>
          <w:rFonts w:ascii="仿宋" w:hAnsi="仿宋" w:eastAsia="仿宋" w:cs="仿宋"/>
          <w:bCs/>
          <w:color w:val="auto"/>
          <w:sz w:val="24"/>
          <w:szCs w:val="22"/>
        </w:rPr>
      </w:pPr>
      <w:r>
        <w:rPr>
          <w:rFonts w:hint="eastAsia" w:ascii="仿宋" w:hAnsi="仿宋" w:eastAsia="仿宋" w:cs="仿宋"/>
          <w:bCs/>
          <w:color w:val="auto"/>
          <w:sz w:val="24"/>
          <w:szCs w:val="22"/>
        </w:rPr>
        <w:t>10.3.2“最后报价一览表”1份，“最后报价一览表”报价部分建议留空，以供供应商现场填写最后报价使用。</w:t>
      </w:r>
    </w:p>
    <w:p>
      <w:pPr>
        <w:pStyle w:val="116"/>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谈判结束后，谈判小组要求供应商进行最后报价时，由供应商填写“最后报价一览表”，并自行准备密封袋，以备评审现场根据要求填写后密封提交。经供应商法定代表人或代理人签字后密封递交给代理机构工作人员。由其收集齐后交由监督代表集中递交谈判小组。</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本项目报价要求（实质性要求）</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①</w:t>
      </w:r>
      <w:r>
        <w:rPr>
          <w:rFonts w:hint="eastAsia" w:ascii="仿宋" w:hAnsi="仿宋" w:eastAsia="仿宋" w:cs="仿宋"/>
          <w:bCs/>
          <w:color w:val="auto"/>
          <w:sz w:val="24"/>
        </w:rPr>
        <w:t>供</w:t>
      </w:r>
      <w:r>
        <w:rPr>
          <w:rFonts w:hint="eastAsia" w:ascii="仿宋" w:hAnsi="仿宋" w:eastAsia="仿宋" w:cs="仿宋"/>
          <w:color w:val="auto"/>
          <w:sz w:val="24"/>
        </w:rPr>
        <w:t>应商的报价是供应商响应本项目要求的全部工作内容的价格体现，包括供应商完成本项目所需的一切费用。</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②供应商最后报价只允许有一个报价，并且在合同履行过程中是固定不变的，任何有选择或可调整的报价将不予接受，并按无效响应处理（但是按本采购文件的规定，属于报价计算错误可以修改的情形除外）。</w:t>
      </w:r>
    </w:p>
    <w:p>
      <w:pPr>
        <w:spacing w:line="360" w:lineRule="auto"/>
        <w:ind w:firstLine="480" w:firstLineChars="200"/>
        <w:rPr>
          <w:rFonts w:ascii="仿宋" w:hAnsi="仿宋" w:eastAsia="仿宋" w:cs="仿宋"/>
          <w:bCs/>
          <w:color w:val="auto"/>
          <w:sz w:val="24"/>
          <w:szCs w:val="22"/>
        </w:rPr>
      </w:pPr>
      <w:r>
        <w:rPr>
          <w:rFonts w:hint="eastAsia" w:ascii="仿宋" w:hAnsi="仿宋" w:eastAsia="仿宋" w:cs="仿宋"/>
          <w:color w:val="auto"/>
          <w:sz w:val="24"/>
        </w:rPr>
        <w:t>③</w:t>
      </w:r>
      <w:r>
        <w:rPr>
          <w:rFonts w:hint="eastAsia" w:ascii="仿宋" w:hAnsi="仿宋" w:eastAsia="仿宋" w:cs="仿宋"/>
          <w:bCs/>
          <w:color w:val="auto"/>
          <w:sz w:val="24"/>
        </w:rPr>
        <w:t>“最后报价一览表”</w:t>
      </w:r>
      <w:r>
        <w:rPr>
          <w:rFonts w:hint="eastAsia" w:ascii="仿宋" w:hAnsi="仿宋" w:eastAsia="仿宋" w:cs="仿宋"/>
          <w:bCs/>
          <w:color w:val="auto"/>
          <w:sz w:val="24"/>
          <w:szCs w:val="22"/>
        </w:rPr>
        <w:t>填写的报价将作为本次采购唯一的最后报价依据。</w:t>
      </w:r>
    </w:p>
    <w:p>
      <w:pPr>
        <w:spacing w:line="360" w:lineRule="auto"/>
        <w:ind w:firstLine="482" w:firstLineChars="200"/>
        <w:rPr>
          <w:rFonts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10.4电子文档</w:t>
      </w:r>
    </w:p>
    <w:p>
      <w:pPr>
        <w:widowControl/>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响应文件电子文档应当包含资格性响应文件和其他响应文件两部分。</w:t>
      </w:r>
    </w:p>
    <w:p>
      <w:pPr>
        <w:widowControl/>
        <w:spacing w:line="360" w:lineRule="auto"/>
        <w:jc w:val="left"/>
        <w:rPr>
          <w:rFonts w:ascii="仿宋" w:hAnsi="仿宋" w:eastAsia="仿宋" w:cs="仿宋"/>
          <w:color w:val="auto"/>
          <w:sz w:val="24"/>
        </w:rPr>
      </w:pP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11.响应文件格式</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供应商应按照</w:t>
      </w:r>
      <w:r>
        <w:rPr>
          <w:rFonts w:hint="eastAsia" w:ascii="仿宋" w:hAnsi="仿宋" w:eastAsia="仿宋" w:cs="仿宋"/>
          <w:bCs/>
          <w:color w:val="auto"/>
          <w:sz w:val="24"/>
        </w:rPr>
        <w:t>竞争性谈判文件</w:t>
      </w:r>
      <w:r>
        <w:rPr>
          <w:rFonts w:hint="eastAsia" w:ascii="仿宋" w:hAnsi="仿宋" w:eastAsia="仿宋" w:cs="仿宋"/>
          <w:color w:val="auto"/>
          <w:sz w:val="24"/>
        </w:rPr>
        <w:t>第七章中提供的“响应文件格式”填写相关内容。除格式中明确将该格式作为实质性要求的，一律不具有强制性，但是，供应商响应文件相关资料和本章所制格式不一致的，需涵盖所有要求内容，未按要求提供导致响应文件被认定为无效响应文件的，后果由供应商自行承担。</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对于没有格式要求的内容由供应商根据其实际情况自行编写。</w:t>
      </w:r>
    </w:p>
    <w:p>
      <w:pPr>
        <w:widowControl/>
        <w:spacing w:line="360" w:lineRule="auto"/>
        <w:rPr>
          <w:rFonts w:ascii="仿宋" w:hAnsi="仿宋" w:eastAsia="仿宋" w:cs="仿宋"/>
          <w:color w:val="auto"/>
          <w:sz w:val="24"/>
        </w:rPr>
      </w:pPr>
    </w:p>
    <w:p>
      <w:pPr>
        <w:widowControl/>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12.响应文件的印制及签署</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12.1</w:t>
      </w:r>
      <w:r>
        <w:rPr>
          <w:rFonts w:hint="eastAsia" w:ascii="仿宋" w:hAnsi="仿宋" w:eastAsia="仿宋" w:cs="仿宋"/>
          <w:b/>
          <w:bCs/>
          <w:color w:val="auto"/>
          <w:sz w:val="24"/>
        </w:rPr>
        <w:t>资格性响应文件</w:t>
      </w:r>
      <w:r>
        <w:rPr>
          <w:rFonts w:hint="eastAsia" w:ascii="仿宋" w:hAnsi="仿宋" w:eastAsia="仿宋" w:cs="仿宋"/>
          <w:color w:val="auto"/>
          <w:sz w:val="24"/>
        </w:rPr>
        <w:t>正本1份、副本2份，并在其封面上清楚地标明资格性响应文件、采购项目名称、采购项目编号、包件号及名称（若有）、供应商名称以及“正本”或“副本”字样。若正本和副本有不一致的内容，以正本书面响应文件为准。</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12.2</w:t>
      </w:r>
      <w:r>
        <w:rPr>
          <w:rFonts w:hint="eastAsia" w:ascii="仿宋" w:hAnsi="仿宋" w:eastAsia="仿宋" w:cs="仿宋"/>
          <w:b/>
          <w:bCs/>
          <w:color w:val="auto"/>
          <w:sz w:val="24"/>
        </w:rPr>
        <w:t>其他响应文件</w:t>
      </w:r>
      <w:r>
        <w:rPr>
          <w:rFonts w:hint="eastAsia" w:ascii="仿宋" w:hAnsi="仿宋" w:eastAsia="仿宋" w:cs="仿宋"/>
          <w:color w:val="auto"/>
          <w:sz w:val="24"/>
        </w:rPr>
        <w:t>正本1份、副本2份，并在其封面上清楚地标明其他响应文件、采购项目名称、采购项目编号、包件号及名称（若有）、供应商名称以及“正本”或“副本”字样。若正本和副本有不一致的内容，以正本书面响应文件为准。</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12.3</w:t>
      </w:r>
      <w:r>
        <w:rPr>
          <w:rFonts w:hint="eastAsia" w:ascii="仿宋" w:hAnsi="仿宋" w:eastAsia="仿宋" w:cs="仿宋"/>
          <w:b/>
          <w:bCs/>
          <w:color w:val="auto"/>
          <w:sz w:val="24"/>
        </w:rPr>
        <w:t>报价响应文件</w:t>
      </w:r>
      <w:r>
        <w:rPr>
          <w:rFonts w:hint="eastAsia" w:ascii="仿宋" w:hAnsi="仿宋" w:eastAsia="仿宋" w:cs="仿宋"/>
          <w:color w:val="auto"/>
          <w:sz w:val="24"/>
        </w:rPr>
        <w:t>1份，并在其封面上清楚地标明报价响应文件、采购项目名称、采购项目编号、包件号及名称（若有）、供应商名称。</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b/>
          <w:bCs/>
          <w:color w:val="auto"/>
          <w:sz w:val="24"/>
        </w:rPr>
        <w:t>响应文件电子文档</w:t>
      </w:r>
      <w:r>
        <w:rPr>
          <w:rFonts w:hint="eastAsia" w:ascii="仿宋" w:hAnsi="仿宋" w:eastAsia="仿宋" w:cs="仿宋"/>
          <w:color w:val="auto"/>
          <w:sz w:val="24"/>
        </w:rPr>
        <w:t>在其封面上清楚地标明采购项目名称、采购项目编号、包件号及名称（若有）、供应商名称。</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12.5若响应文件正本与副本内容出现差异时，则以正本为准，但是以下情形除外：</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（1）当副本与正本不一致,副本中资料签字盖章内容完善、完整，并以原件呈现，完全符合采购文件各项规定要求的；</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（2）经澄清程序，供应商现场确认的。副本可用正本的影印件。</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12.6响应文件的正本必须使用不褪色、不变质的墨水书写或打印，并由供应商的法定代表人或其授权代表在规定签章处签字并盖章。响应文件副本可采用正本的影印件。</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12.7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12.8</w:t>
      </w:r>
      <w:r>
        <w:rPr>
          <w:rFonts w:hint="eastAsia" w:ascii="仿宋" w:hAnsi="仿宋" w:eastAsia="仿宋" w:cs="仿宋"/>
          <w:b/>
          <w:bCs/>
          <w:color w:val="auto"/>
          <w:sz w:val="24"/>
        </w:rPr>
        <w:t>（实质性要求）</w:t>
      </w:r>
      <w:r>
        <w:rPr>
          <w:rFonts w:hint="eastAsia" w:ascii="仿宋" w:hAnsi="仿宋" w:eastAsia="仿宋" w:cs="仿宋"/>
          <w:color w:val="auto"/>
          <w:sz w:val="24"/>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12.9响应文件正本和副本必须无钉左侧胶装并逐页编码，资格性响应文件和其他响应文件应分册装订。</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12.10响应文件应根据谈判文件的要求制作，签署、盖章和内容应完整。</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12.11响应文件统一用A4幅面纸印制。</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12.12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pPr>
        <w:widowControl/>
        <w:spacing w:line="360" w:lineRule="auto"/>
        <w:ind w:firstLine="480"/>
        <w:rPr>
          <w:rFonts w:ascii="仿宋" w:hAnsi="仿宋" w:eastAsia="仿宋" w:cs="仿宋"/>
          <w:b/>
          <w:bCs/>
          <w:color w:val="auto"/>
          <w:sz w:val="24"/>
        </w:rPr>
      </w:pPr>
      <w:r>
        <w:rPr>
          <w:rFonts w:hint="eastAsia" w:ascii="仿宋" w:hAnsi="仿宋" w:eastAsia="仿宋" w:cs="仿宋"/>
          <w:b/>
          <w:bCs/>
          <w:color w:val="auto"/>
          <w:sz w:val="24"/>
        </w:rPr>
        <w:t>注：响应文件电子文档制作的参考方法：响应文件纸质版正本按照谈判文件要求制作完毕后（签字盖章完毕并检查无误），先按页码逐页（包括封面）进行彩色扫描，扫描完成后再将纸质版正本胶装成册，扫描形成的图像文件依序制作成一个PDF格式文件。</w:t>
      </w:r>
    </w:p>
    <w:p>
      <w:pPr>
        <w:widowControl/>
        <w:spacing w:line="360" w:lineRule="auto"/>
        <w:ind w:firstLine="480"/>
        <w:rPr>
          <w:rFonts w:ascii="仿宋" w:hAnsi="仿宋" w:eastAsia="仿宋" w:cs="仿宋"/>
          <w:b/>
          <w:bCs/>
          <w:color w:val="auto"/>
          <w:sz w:val="24"/>
        </w:rPr>
      </w:pPr>
    </w:p>
    <w:p>
      <w:pPr>
        <w:widowControl/>
        <w:numPr>
          <w:ilvl w:val="255"/>
          <w:numId w:val="0"/>
        </w:num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13.响应文件的密封和标注</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color w:val="auto"/>
          <w:sz w:val="24"/>
        </w:rPr>
        <w:t>“资格性响应文件”、“其他响应文件”、“报价响应文件”</w:t>
      </w:r>
      <w:r>
        <w:rPr>
          <w:rFonts w:hint="eastAsia" w:ascii="仿宋" w:hAnsi="仿宋" w:eastAsia="仿宋" w:cs="仿宋"/>
          <w:color w:val="auto"/>
          <w:sz w:val="24"/>
        </w:rPr>
        <w:t>和</w:t>
      </w:r>
      <w:r>
        <w:rPr>
          <w:rFonts w:hint="eastAsia" w:ascii="仿宋" w:hAnsi="仿宋" w:eastAsia="仿宋" w:cs="仿宋"/>
          <w:b/>
          <w:bCs/>
          <w:color w:val="auto"/>
          <w:sz w:val="24"/>
        </w:rPr>
        <w:t>“电子文档”</w:t>
      </w:r>
      <w:r>
        <w:rPr>
          <w:rFonts w:hint="eastAsia" w:ascii="仿宋" w:hAnsi="仿宋" w:eastAsia="仿宋" w:cs="仿宋"/>
          <w:color w:val="auto"/>
          <w:sz w:val="24"/>
        </w:rPr>
        <w:t>均需单独密封。</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13.2每一密封件上应注明“于　　年　　月　　日　　时　　分之前不准启封”字样（报价响应文件除外），所有外层密封袋的封口处应粘贴牢固，并加盖密封章（供应商公章）。</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13.3如未按以上规定密封和标记，采购代理机构对响应文件的误投或提前拆封不负责任。对由此造成提前开封的响应文件，采购代理机构将有权拒绝并退回。</w:t>
      </w:r>
    </w:p>
    <w:p>
      <w:pPr>
        <w:widowControl/>
        <w:spacing w:line="360" w:lineRule="auto"/>
        <w:ind w:firstLine="480"/>
        <w:rPr>
          <w:rFonts w:ascii="仿宋" w:hAnsi="仿宋" w:eastAsia="仿宋" w:cs="仿宋"/>
          <w:color w:val="auto"/>
          <w:sz w:val="24"/>
        </w:rPr>
      </w:pPr>
    </w:p>
    <w:p>
      <w:pPr>
        <w:widowControl/>
        <w:numPr>
          <w:ilvl w:val="255"/>
          <w:numId w:val="0"/>
        </w:num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14.响应文件的递交</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14.1供应商应在</w:t>
      </w:r>
      <w:r>
        <w:rPr>
          <w:rFonts w:hint="eastAsia" w:ascii="仿宋" w:hAnsi="仿宋" w:eastAsia="仿宋" w:cs="仿宋"/>
          <w:bCs/>
          <w:color w:val="auto"/>
          <w:sz w:val="24"/>
        </w:rPr>
        <w:t>竞争性谈判文件</w:t>
      </w:r>
      <w:r>
        <w:rPr>
          <w:rFonts w:hint="eastAsia" w:ascii="仿宋" w:hAnsi="仿宋" w:eastAsia="仿宋" w:cs="仿宋"/>
          <w:color w:val="auto"/>
          <w:sz w:val="24"/>
        </w:rPr>
        <w:t>规定的递交响应文件截止时间前，将响应文件按</w:t>
      </w:r>
      <w:r>
        <w:rPr>
          <w:rFonts w:hint="eastAsia" w:ascii="仿宋" w:hAnsi="仿宋" w:eastAsia="仿宋" w:cs="仿宋"/>
          <w:bCs/>
          <w:color w:val="auto"/>
          <w:sz w:val="24"/>
        </w:rPr>
        <w:t>竞争性谈判文件</w:t>
      </w:r>
      <w:r>
        <w:rPr>
          <w:rFonts w:hint="eastAsia" w:ascii="仿宋" w:hAnsi="仿宋" w:eastAsia="仿宋" w:cs="仿宋"/>
          <w:color w:val="auto"/>
          <w:sz w:val="24"/>
        </w:rPr>
        <w:t>的规定密封后送达递交响应文件地点。递交响应文件截止时间以后送达的响应文件将不予接收，采购单位将告知供应商不予接收的原因。</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14.2递交响应文件时，报名供应商名称和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的文号、分包号应当与供应商名称和响应文件的文号、分包号一致。但是，响应文件实质内容报名供应商名称和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的文号、分包号一致，只是封面文字错误的，可以在评审过程中当面予以澄清，以有效的澄清材料作为认定响应文件是否有效的依据。</w:t>
      </w:r>
    </w:p>
    <w:p>
      <w:pPr>
        <w:widowControl/>
        <w:spacing w:line="360" w:lineRule="auto"/>
        <w:ind w:firstLine="480"/>
        <w:rPr>
          <w:rFonts w:ascii="仿宋" w:eastAsia="仿宋" w:cs="仿宋"/>
          <w:color w:val="auto"/>
          <w:sz w:val="24"/>
        </w:rPr>
      </w:pPr>
      <w:r>
        <w:rPr>
          <w:rFonts w:hint="eastAsia" w:ascii="仿宋" w:eastAsia="仿宋" w:cs="仿宋"/>
          <w:color w:val="auto"/>
          <w:sz w:val="24"/>
        </w:rPr>
        <w:t>14.3“最后报价一览表”在谈判后，由谈判小组要求供应商进行最后报价时，单独放在报价响应文件袋内密封后递交。</w:t>
      </w:r>
    </w:p>
    <w:p>
      <w:pPr>
        <w:widowControl/>
        <w:spacing w:line="360" w:lineRule="auto"/>
        <w:ind w:firstLine="480"/>
        <w:rPr>
          <w:rFonts w:ascii="仿宋" w:eastAsia="仿宋" w:cs="仿宋"/>
          <w:color w:val="auto"/>
          <w:sz w:val="24"/>
        </w:rPr>
      </w:pPr>
      <w:r>
        <w:rPr>
          <w:rFonts w:hint="eastAsia" w:ascii="仿宋" w:eastAsia="仿宋" w:cs="仿宋"/>
          <w:color w:val="auto"/>
          <w:sz w:val="24"/>
        </w:rPr>
        <w:t>14.4本次采购不接收邮寄的响应文件。</w:t>
      </w:r>
    </w:p>
    <w:p>
      <w:pPr>
        <w:pStyle w:val="2"/>
        <w:spacing w:line="360" w:lineRule="auto"/>
        <w:ind w:firstLine="480"/>
        <w:rPr>
          <w:color w:val="auto"/>
        </w:rPr>
      </w:pPr>
    </w:p>
    <w:p>
      <w:pPr>
        <w:widowControl/>
        <w:numPr>
          <w:ilvl w:val="255"/>
          <w:numId w:val="0"/>
        </w:num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 xml:space="preserve">15.响应文件的修改和撤回 </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15.2供应商对响应文件修改的书面材料或撤销的通知应该按本章的规定进行编写、密封、标注和递送，并注明“修改”或“撤销”字样。</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15.3供应商不得在递交截止时间起至响应文件有效期期满前撤销其响应文件，否则将认定其响应文件有效期的承诺为虚假承诺，并依法追究其法律责任。</w:t>
      </w:r>
    </w:p>
    <w:p>
      <w:pPr>
        <w:spacing w:line="360" w:lineRule="auto"/>
        <w:ind w:firstLine="480" w:firstLineChars="200"/>
        <w:rPr>
          <w:rFonts w:ascii="仿宋" w:hAnsi="仿宋" w:eastAsia="仿宋" w:cs="仿宋"/>
          <w:b/>
          <w:color w:val="auto"/>
          <w:sz w:val="24"/>
        </w:rPr>
      </w:pPr>
      <w:r>
        <w:rPr>
          <w:rFonts w:hint="eastAsia" w:ascii="仿宋" w:hAnsi="仿宋" w:eastAsia="仿宋" w:cs="仿宋"/>
          <w:bCs/>
          <w:color w:val="auto"/>
          <w:sz w:val="24"/>
        </w:rPr>
        <w:t>15.4</w:t>
      </w:r>
      <w:r>
        <w:rPr>
          <w:rFonts w:hint="eastAsia" w:ascii="仿宋" w:hAnsi="仿宋" w:eastAsia="仿宋" w:cs="仿宋"/>
          <w:color w:val="auto"/>
          <w:sz w:val="24"/>
        </w:rPr>
        <w:t>供应商对其提交的响应文件的真实性、合法性承担法律责任。</w:t>
      </w:r>
    </w:p>
    <w:p>
      <w:pPr>
        <w:pStyle w:val="6"/>
        <w:keepNext w:val="0"/>
        <w:spacing w:beforeLines="100" w:afterLines="100"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五、评审</w:t>
      </w:r>
    </w:p>
    <w:p>
      <w:pPr>
        <w:spacing w:beforeLines="100" w:afterLines="100" w:line="360" w:lineRule="auto"/>
        <w:ind w:firstLine="480" w:firstLineChars="200"/>
        <w:jc w:val="center"/>
        <w:rPr>
          <w:rFonts w:ascii="仿宋" w:hAnsi="仿宋" w:eastAsia="仿宋" w:cs="仿宋"/>
          <w:color w:val="auto"/>
          <w:sz w:val="30"/>
          <w:szCs w:val="30"/>
        </w:rPr>
      </w:pPr>
      <w:r>
        <w:rPr>
          <w:rFonts w:hint="eastAsia" w:ascii="仿宋" w:hAnsi="仿宋" w:eastAsia="仿宋" w:cs="仿宋"/>
          <w:color w:val="auto"/>
          <w:sz w:val="24"/>
        </w:rPr>
        <w:t>谈判小组的组建及其评审工作按照有关法律制度和本文件第八章的规定进行。</w:t>
      </w:r>
    </w:p>
    <w:p>
      <w:pPr>
        <w:pStyle w:val="6"/>
        <w:keepNext w:val="0"/>
        <w:spacing w:beforeLines="100" w:afterLines="100"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六、成交</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16.确定成交供应商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16.1确定成交供应商方式</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（2）由采购人授权谈判小组确定成交供应商。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本项目采用第（1）种方式确定成交供应商。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ascii="仿宋" w:hAnsi="仿宋" w:eastAsia="仿宋" w:cs="仿宋"/>
          <w:color w:val="auto"/>
          <w:sz w:val="24"/>
        </w:rPr>
        <w:t>.</w:t>
      </w:r>
      <w:r>
        <w:rPr>
          <w:rFonts w:hint="eastAsia" w:ascii="仿宋" w:hAnsi="仿宋" w:eastAsia="仿宋" w:cs="仿宋"/>
          <w:color w:val="auto"/>
          <w:sz w:val="24"/>
        </w:rPr>
        <w:t>2采购人确定成交供应商过程中，发现成交候选供应商有下列情形之一的，不予确定其为成交供应商：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）成交候选供应商属于禁止参加本项目采购活动的；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）成交候选供应商因不可抗力，不能继续参加政府采购活动；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）成交候选供应商无偿赠与或者低于成本价竞争；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）成交候选供应商提供虚假材料；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）成交候选供应商恶意串通。</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成交候选供应商有本条情形之一的，采购人可以确定后一位成交候选供应商为成交供应商，依次类推。无法确定成交供应商的，应当重新组织采购。</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rPr>
        <w:t>17.成交结果</w:t>
      </w:r>
    </w:p>
    <w:p>
      <w:pPr>
        <w:spacing w:line="360" w:lineRule="auto"/>
        <w:ind w:firstLine="480"/>
        <w:rPr>
          <w:rFonts w:ascii="仿宋" w:hAnsi="仿宋" w:eastAsia="仿宋"/>
          <w:color w:val="auto"/>
          <w:sz w:val="24"/>
        </w:rPr>
      </w:pPr>
      <w:r>
        <w:rPr>
          <w:rFonts w:hint="eastAsia" w:ascii="仿宋" w:hAnsi="仿宋" w:eastAsia="仿宋" w:cs="仿宋"/>
          <w:color w:val="auto"/>
          <w:sz w:val="24"/>
        </w:rPr>
        <w:t>17.</w:t>
      </w:r>
      <w:r>
        <w:rPr>
          <w:rFonts w:ascii="仿宋" w:hAnsi="仿宋" w:eastAsia="仿宋" w:cs="仿宋"/>
          <w:color w:val="auto"/>
          <w:sz w:val="24"/>
        </w:rPr>
        <w:t>1</w:t>
      </w:r>
      <w:r>
        <w:rPr>
          <w:rFonts w:hint="eastAsia" w:ascii="仿宋" w:hAnsi="仿宋" w:eastAsia="仿宋" w:cs="仿宋"/>
          <w:color w:val="auto"/>
          <w:sz w:val="24"/>
        </w:rPr>
        <w:t>采购人确定成交供应商后，将及时书面通知采购代理机构，</w:t>
      </w:r>
      <w:r>
        <w:rPr>
          <w:rFonts w:hint="eastAsia" w:ascii="仿宋" w:hAnsi="仿宋" w:eastAsia="仿宋" w:cs="仿宋"/>
          <w:bCs/>
          <w:color w:val="auto"/>
          <w:sz w:val="24"/>
        </w:rPr>
        <w:t>采购代理机构将根据确定的成交供应商发布成交结果公告，并电话通知成交供应商，同时向成交供应商发出成交通知书。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17</w:t>
      </w:r>
      <w:r>
        <w:rPr>
          <w:rFonts w:ascii="仿宋" w:hAnsi="仿宋" w:eastAsia="仿宋" w:cs="仿宋"/>
          <w:color w:val="auto"/>
          <w:sz w:val="24"/>
        </w:rPr>
        <w:t>.2</w:t>
      </w:r>
      <w:r>
        <w:rPr>
          <w:rFonts w:hint="eastAsia" w:ascii="仿宋" w:hAnsi="仿宋" w:eastAsia="仿宋" w:cs="仿宋"/>
          <w:color w:val="auto"/>
          <w:sz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rPr>
      </w:pPr>
      <w:r>
        <w:rPr>
          <w:rFonts w:hint="eastAsia" w:ascii="仿宋" w:hAnsi="仿宋" w:eastAsia="仿宋" w:cs="仿宋"/>
          <w:color w:val="auto"/>
          <w:sz w:val="24"/>
        </w:rPr>
        <w:t>17</w:t>
      </w:r>
      <w:r>
        <w:rPr>
          <w:rFonts w:ascii="仿宋" w:hAnsi="仿宋" w:eastAsia="仿宋" w:cs="仿宋"/>
          <w:color w:val="auto"/>
          <w:sz w:val="24"/>
        </w:rPr>
        <w:t>.3</w:t>
      </w:r>
      <w:r>
        <w:rPr>
          <w:rFonts w:hint="eastAsia" w:ascii="仿宋" w:hAnsi="仿宋" w:eastAsia="仿宋" w:cs="仿宋"/>
          <w:color w:val="auto"/>
          <w:sz w:val="24"/>
        </w:rPr>
        <w:t>成交供应商不能及时领取成交通知书，采购人或者采购代理机构应当通过邮寄、快递等方式将项目成交通知书送达成交供应商。</w:t>
      </w:r>
    </w:p>
    <w:p>
      <w:pPr>
        <w:spacing w:line="360" w:lineRule="auto"/>
        <w:ind w:firstLine="480"/>
        <w:rPr>
          <w:rFonts w:ascii="仿宋" w:hAnsi="仿宋" w:eastAsia="仿宋" w:cs="仿宋"/>
          <w:bCs/>
          <w:color w:val="auto"/>
          <w:sz w:val="24"/>
        </w:rPr>
      </w:pPr>
      <w:r>
        <w:rPr>
          <w:rFonts w:hint="eastAsia" w:ascii="仿宋" w:hAnsi="仿宋" w:eastAsia="仿宋" w:cs="仿宋"/>
          <w:color w:val="auto"/>
          <w:sz w:val="24"/>
        </w:rPr>
        <w:t>17</w:t>
      </w:r>
      <w:r>
        <w:rPr>
          <w:rFonts w:ascii="仿宋" w:hAnsi="仿宋" w:eastAsia="仿宋" w:cs="仿宋"/>
          <w:color w:val="auto"/>
          <w:sz w:val="24"/>
        </w:rPr>
        <w:t>.</w:t>
      </w:r>
      <w:r>
        <w:rPr>
          <w:rFonts w:hint="eastAsia" w:ascii="仿宋" w:hAnsi="仿宋" w:eastAsia="仿宋" w:cs="仿宋"/>
          <w:color w:val="auto"/>
          <w:sz w:val="24"/>
        </w:rPr>
        <w:t>4</w:t>
      </w:r>
      <w:r>
        <w:rPr>
          <w:rFonts w:hint="eastAsia" w:ascii="仿宋" w:hAnsi="仿宋" w:eastAsia="仿宋" w:cs="仿宋"/>
          <w:bCs/>
          <w:color w:val="auto"/>
          <w:sz w:val="24"/>
        </w:rPr>
        <w:t>采购单位不解释成交或未成交原因，不退回响应文件和其他响应资料。</w:t>
      </w:r>
    </w:p>
    <w:p>
      <w:pPr>
        <w:spacing w:line="360" w:lineRule="auto"/>
        <w:ind w:firstLine="480"/>
        <w:rPr>
          <w:rFonts w:ascii="仿宋" w:hAnsi="仿宋" w:eastAsia="仿宋"/>
          <w:color w:val="auto"/>
          <w:sz w:val="24"/>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rPr>
        <w:t>18.成交通知书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18</w:t>
      </w:r>
      <w:r>
        <w:rPr>
          <w:rFonts w:ascii="仿宋" w:hAnsi="仿宋" w:eastAsia="仿宋" w:cs="仿宋"/>
          <w:color w:val="auto"/>
          <w:sz w:val="24"/>
        </w:rPr>
        <w:t>.1</w:t>
      </w:r>
      <w:r>
        <w:rPr>
          <w:rFonts w:hint="eastAsia" w:ascii="仿宋" w:hAnsi="仿宋" w:eastAsia="仿宋" w:cs="仿宋"/>
          <w:color w:val="auto"/>
          <w:sz w:val="24"/>
        </w:rPr>
        <w:t>成交通知书为签订采购合同的依据之一，是合同的有效组成部分。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w:t>
      </w:r>
      <w:r>
        <w:rPr>
          <w:rFonts w:ascii="仿宋" w:hAnsi="仿宋" w:eastAsia="仿宋" w:cs="仿宋"/>
          <w:color w:val="auto"/>
          <w:sz w:val="24"/>
        </w:rPr>
        <w:t>.2</w:t>
      </w:r>
      <w:r>
        <w:rPr>
          <w:rFonts w:hint="eastAsia" w:ascii="仿宋" w:hAnsi="仿宋" w:eastAsia="仿宋" w:cs="仿宋"/>
          <w:color w:val="auto"/>
          <w:sz w:val="24"/>
        </w:rPr>
        <w:t>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ascii="仿宋" w:hAnsi="仿宋" w:eastAsia="仿宋"/>
          <w:bCs/>
          <w:color w:val="auto"/>
          <w:sz w:val="24"/>
        </w:rPr>
      </w:pPr>
      <w:r>
        <w:rPr>
          <w:rFonts w:hint="eastAsia" w:ascii="仿宋" w:eastAsia="仿宋" w:cs="仿宋"/>
          <w:bCs/>
          <w:color w:val="auto"/>
          <w:sz w:val="24"/>
        </w:rPr>
        <w:t>18</w:t>
      </w:r>
      <w:r>
        <w:rPr>
          <w:rFonts w:ascii="仿宋" w:eastAsia="仿宋" w:cs="仿宋"/>
          <w:bCs/>
          <w:color w:val="auto"/>
          <w:sz w:val="24"/>
        </w:rPr>
        <w:t>.3</w:t>
      </w:r>
      <w:r>
        <w:rPr>
          <w:rFonts w:hint="eastAsia" w:ascii="仿宋" w:eastAsia="仿宋" w:cs="仿宋"/>
          <w:bCs/>
          <w:color w:val="auto"/>
          <w:sz w:val="24"/>
        </w:rPr>
        <w:t>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spacing w:beforeLines="100"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七、合同事项</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19.签订合同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19.1成交供应商在收到成交通知书后，应在规定的时间内与采购人签订采购合同。由于成交供应商的原因逾期未与采购人签订采购合同的，将视为放弃成交，取消其成交资格并将按相关规定进行处理；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19.2采购人不得向成交供应商提出任何不合理的要求，作为签订合同的条件，不得与成交供应商私下订立背离合同实质性内容的任何协议，所签订的合同不得对竞争性谈判文件和成交供应商响应文件作实质性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19.3成交供应商因不可抗力原因不能履行采购合同或放弃成交的，采购人可以与排在成交供应商之后第一位的成交候选人签订采购合同，以此类推；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19.4在签订合同前，采购人有权对成交人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pPr>
        <w:spacing w:line="360" w:lineRule="auto"/>
        <w:ind w:firstLine="482"/>
        <w:rPr>
          <w:rFonts w:ascii="仿宋" w:hAnsi="仿宋" w:eastAsia="仿宋" w:cs="仿宋"/>
          <w:bCs/>
          <w:color w:val="auto"/>
          <w:sz w:val="24"/>
        </w:rPr>
      </w:pPr>
      <w:r>
        <w:rPr>
          <w:rFonts w:hint="eastAsia" w:ascii="仿宋" w:hAnsi="仿宋" w:eastAsia="仿宋" w:cs="仿宋"/>
          <w:bCs/>
          <w:color w:val="auto"/>
          <w:sz w:val="24"/>
        </w:rPr>
        <w:t>19.5成交供应商在合同签订之后3个工作日内，</w:t>
      </w:r>
      <w:r>
        <w:rPr>
          <w:rFonts w:hint="eastAsia" w:ascii="仿宋" w:hAnsi="仿宋" w:eastAsia="仿宋" w:cs="仿宋"/>
          <w:color w:val="auto"/>
          <w:sz w:val="24"/>
        </w:rPr>
        <w:t>将签订的合同送采购代理机构进行合同编号。</w:t>
      </w:r>
      <w:r>
        <w:rPr>
          <w:rFonts w:hint="eastAsia" w:ascii="仿宋" w:hAnsi="仿宋" w:eastAsia="仿宋" w:cs="仿宋"/>
          <w:bCs/>
          <w:color w:val="auto"/>
          <w:sz w:val="24"/>
        </w:rPr>
        <w:t>将签订的合同1份送采购代理机构备案。</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19.6竞争性谈判文件、成交供应商提交的响应文件、谈判中的最后报价、成交供应商承诺书、成交通知书等均称为有法律约束力的合同组成内容。</w:t>
      </w:r>
    </w:p>
    <w:p>
      <w:pPr>
        <w:spacing w:line="360" w:lineRule="auto"/>
        <w:ind w:firstLine="482" w:firstLineChars="200"/>
        <w:rPr>
          <w:rFonts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20.合同分包（实质性要求）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20.1本项目合同接受分包与否，以“供应商须知附表”要求为准。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允许分包的，经采购人同意，成交供应商可以将非主体、非关键性工作依法采取分包方式履行合同，但必须在响应文件中事前载明。这种要求应当在合同签订之前征得采购人同意，并且分包供应商履行的分包项目的品牌、规格型号及技术要求等，必须与成交的一致；未经采购人同意，成交供应商不得分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20.3采购合同分包履行的，成交供应商就采购项目和分包项目向采购人负责，分包供应商就分包项目承担责任。</w:t>
      </w:r>
    </w:p>
    <w:p>
      <w:pPr>
        <w:spacing w:line="360" w:lineRule="auto"/>
        <w:rPr>
          <w:rFonts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21.合同转包（实质性要求）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21.1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21.2成交供应商转包的，视同拒绝履行采购合同义务，将依法追究法律责任。</w:t>
      </w:r>
    </w:p>
    <w:p>
      <w:pPr>
        <w:spacing w:line="360" w:lineRule="auto"/>
        <w:ind w:firstLine="480"/>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22.补充合同</w:t>
      </w:r>
    </w:p>
    <w:p>
      <w:pPr>
        <w:spacing w:line="360" w:lineRule="auto"/>
        <w:ind w:firstLine="492"/>
        <w:rPr>
          <w:rFonts w:ascii="仿宋" w:hAnsi="仿宋" w:eastAsia="仿宋" w:cs="仿宋"/>
          <w:bCs/>
          <w:color w:val="auto"/>
          <w:sz w:val="24"/>
        </w:rPr>
      </w:pPr>
      <w:r>
        <w:rPr>
          <w:rFonts w:hint="eastAsia" w:ascii="仿宋" w:hAnsi="仿宋" w:eastAsia="仿宋" w:cs="仿宋"/>
          <w:bCs/>
          <w:color w:val="auto"/>
          <w:sz w:val="24"/>
        </w:rPr>
        <w:t>采购合同履行过程中，采购人需要追加与合同标的相同的货物或者服务的，在不改变合同其他条款的前提下，可以与成交供应商协商签订补充合同，</w:t>
      </w:r>
      <w:r>
        <w:rPr>
          <w:rFonts w:hint="eastAsia" w:ascii="仿宋" w:hAnsi="仿宋" w:eastAsia="仿宋" w:cs="仿宋"/>
          <w:color w:val="auto"/>
          <w:sz w:val="24"/>
        </w:rPr>
        <w:t>但所有补充合同的采购金额不得超过原合同采购金额的</w:t>
      </w:r>
      <w:r>
        <w:rPr>
          <w:rFonts w:hint="eastAsia" w:ascii="仿宋" w:hAnsi="仿宋" w:eastAsia="仿宋" w:cs="仿宋"/>
          <w:bCs/>
          <w:color w:val="auto"/>
          <w:sz w:val="24"/>
        </w:rPr>
        <w:t>10%</w:t>
      </w:r>
      <w:r>
        <w:rPr>
          <w:rFonts w:hint="eastAsia" w:ascii="仿宋" w:hAnsi="仿宋" w:eastAsia="仿宋" w:cs="仿宋"/>
          <w:color w:val="auto"/>
          <w:sz w:val="24"/>
        </w:rPr>
        <w:t>，</w:t>
      </w:r>
      <w:r>
        <w:rPr>
          <w:rFonts w:hint="eastAsia" w:ascii="仿宋" w:hAnsi="仿宋" w:eastAsia="仿宋" w:cs="仿宋"/>
          <w:bCs/>
          <w:color w:val="auto"/>
          <w:sz w:val="24"/>
        </w:rPr>
        <w:t>该补充合同应当在原采购合同履行过程中，不得在原采购合同履行结束后，且采购货物、工程和服务的名称、价格、履约方式、验收标准等必须与原采购合同一致。</w:t>
      </w:r>
    </w:p>
    <w:p>
      <w:pPr>
        <w:spacing w:line="360" w:lineRule="auto"/>
        <w:ind w:firstLine="492"/>
        <w:rPr>
          <w:color w:val="auto"/>
        </w:rPr>
      </w:pPr>
    </w:p>
    <w:p>
      <w:pPr>
        <w:spacing w:line="360" w:lineRule="auto"/>
        <w:ind w:firstLine="482" w:firstLineChars="200"/>
        <w:rPr>
          <w:rFonts w:ascii="仿宋" w:eastAsia="仿宋" w:cs="仿宋"/>
          <w:bCs/>
          <w:color w:val="auto"/>
          <w:sz w:val="24"/>
        </w:rPr>
      </w:pPr>
      <w:r>
        <w:rPr>
          <w:rFonts w:hint="eastAsia" w:ascii="仿宋" w:hAnsi="仿宋" w:eastAsia="仿宋" w:cs="仿宋"/>
          <w:b/>
          <w:color w:val="auto"/>
          <w:sz w:val="24"/>
        </w:rPr>
        <w:t>23.履约保证金（实质性要求）</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23</w:t>
      </w:r>
      <w:r>
        <w:rPr>
          <w:rFonts w:ascii="仿宋" w:hAnsi="仿宋" w:eastAsia="仿宋" w:cs="仿宋"/>
          <w:color w:val="auto"/>
          <w:sz w:val="24"/>
        </w:rPr>
        <w:t>.1</w:t>
      </w:r>
      <w:r>
        <w:rPr>
          <w:rFonts w:hint="eastAsia" w:ascii="仿宋" w:hAnsi="仿宋" w:eastAsia="仿宋" w:cs="仿宋"/>
          <w:bCs/>
          <w:color w:val="auto"/>
          <w:sz w:val="24"/>
        </w:rPr>
        <w:t>如</w:t>
      </w:r>
      <w:r>
        <w:rPr>
          <w:rFonts w:hint="eastAsia" w:ascii="仿宋" w:hAnsi="仿宋" w:eastAsia="仿宋" w:cs="仿宋"/>
          <w:color w:val="auto"/>
          <w:sz w:val="24"/>
        </w:rPr>
        <w:t>竞争性谈判</w:t>
      </w:r>
      <w:r>
        <w:rPr>
          <w:rFonts w:hint="eastAsia" w:ascii="仿宋" w:hAnsi="仿宋" w:eastAsia="仿宋" w:cs="仿宋"/>
          <w:bCs/>
          <w:color w:val="auto"/>
          <w:sz w:val="24"/>
        </w:rPr>
        <w:t>文件要求需要缴纳履约保证金的，</w:t>
      </w:r>
      <w:r>
        <w:rPr>
          <w:rFonts w:hint="eastAsia" w:ascii="仿宋" w:hAnsi="仿宋" w:eastAsia="仿宋" w:cs="仿宋"/>
          <w:color w:val="auto"/>
          <w:sz w:val="24"/>
        </w:rPr>
        <w:t>成交供应商应在合同签订之前交纳竞争性谈判文件规定数额的履约保证金。</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23</w:t>
      </w:r>
      <w:r>
        <w:rPr>
          <w:rFonts w:ascii="仿宋" w:hAnsi="仿宋" w:eastAsia="仿宋" w:cs="仿宋"/>
          <w:color w:val="auto"/>
          <w:sz w:val="24"/>
        </w:rPr>
        <w:t>.2</w:t>
      </w:r>
      <w:r>
        <w:rPr>
          <w:rFonts w:hint="eastAsia" w:ascii="仿宋" w:hAnsi="仿宋" w:eastAsia="仿宋" w:cs="仿宋"/>
          <w:color w:val="auto"/>
          <w:sz w:val="24"/>
        </w:rPr>
        <w:t>如果成交供应商在规定的合同签订时间内，没有按照采购文件的规定交纳履约保证金，且又无正当理由的，将视为放弃成交。</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rPr>
        <w:t>23.3成交供应商自行选择以支票、汇票、本票或者金融机构、担保机构出具的保函等非现金形式缴纳履约保证金。</w:t>
      </w:r>
    </w:p>
    <w:p>
      <w:pPr>
        <w:pStyle w:val="2"/>
        <w:spacing w:line="360" w:lineRule="auto"/>
        <w:ind w:firstLine="360" w:firstLineChars="200"/>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24.履行合同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24.1成交供应</w:t>
      </w:r>
      <w:r>
        <w:rPr>
          <w:rFonts w:hint="eastAsia" w:ascii="仿宋" w:hAnsi="仿宋" w:eastAsia="仿宋" w:cs="仿宋"/>
          <w:color w:val="auto"/>
          <w:sz w:val="24"/>
        </w:rPr>
        <w:t>商与采购</w:t>
      </w:r>
      <w:r>
        <w:rPr>
          <w:rFonts w:hint="eastAsia" w:ascii="仿宋" w:hAnsi="仿宋" w:eastAsia="仿宋" w:cs="仿宋"/>
          <w:bCs/>
          <w:color w:val="auto"/>
          <w:sz w:val="24"/>
        </w:rPr>
        <w:t>人签订合同后，合同双方应严格执行合同条款，履行合同规定的义务，保证合同的顺利完成；</w:t>
      </w:r>
    </w:p>
    <w:p>
      <w:pPr>
        <w:spacing w:line="360" w:lineRule="auto"/>
        <w:ind w:firstLine="482"/>
        <w:rPr>
          <w:rFonts w:ascii="仿宋" w:hAnsi="仿宋" w:eastAsia="仿宋" w:cs="仿宋"/>
          <w:bCs/>
          <w:color w:val="auto"/>
          <w:sz w:val="24"/>
        </w:rPr>
      </w:pPr>
      <w:r>
        <w:rPr>
          <w:rFonts w:hint="eastAsia" w:ascii="仿宋" w:hAnsi="仿宋" w:eastAsia="仿宋" w:cs="仿宋"/>
          <w:bCs/>
          <w:color w:val="auto"/>
          <w:sz w:val="24"/>
        </w:rPr>
        <w:t>24.2在合同履行过程中，如发生合同纠纷，合同双方应按照《</w:t>
      </w:r>
      <w:r>
        <w:rPr>
          <w:rFonts w:hint="eastAsia" w:ascii="仿宋" w:hAnsi="仿宋" w:eastAsia="仿宋" w:cs="仿宋"/>
          <w:bCs/>
          <w:color w:val="auto"/>
          <w:sz w:val="24"/>
          <w:lang w:val="zh-CN"/>
        </w:rPr>
        <w:t>中华人民共和国</w:t>
      </w:r>
      <w:r>
        <w:rPr>
          <w:rFonts w:hint="eastAsia" w:ascii="仿宋" w:hAnsi="仿宋" w:eastAsia="仿宋" w:cs="仿宋"/>
          <w:bCs/>
          <w:color w:val="auto"/>
          <w:sz w:val="24"/>
        </w:rPr>
        <w:t>民法典》的有关规定进行处理。</w:t>
      </w:r>
    </w:p>
    <w:p>
      <w:pPr>
        <w:spacing w:line="360" w:lineRule="auto"/>
        <w:ind w:firstLine="482"/>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25.</w:t>
      </w:r>
      <w:r>
        <w:rPr>
          <w:rFonts w:hint="eastAsia" w:ascii="仿宋" w:hAnsi="仿宋" w:eastAsia="仿宋" w:cs="仿宋"/>
          <w:b/>
          <w:color w:val="auto"/>
          <w:sz w:val="24"/>
        </w:rPr>
        <w:t>验收</w:t>
      </w:r>
    </w:p>
    <w:p>
      <w:pPr>
        <w:spacing w:line="360" w:lineRule="auto"/>
        <w:ind w:firstLine="491"/>
        <w:rPr>
          <w:rFonts w:ascii="仿宋" w:eastAsia="仿宋" w:cs="仿宋"/>
          <w:bCs/>
          <w:color w:val="auto"/>
          <w:sz w:val="24"/>
        </w:rPr>
      </w:pPr>
      <w:r>
        <w:rPr>
          <w:rFonts w:hint="eastAsia" w:ascii="仿宋" w:eastAsia="仿宋" w:cs="仿宋"/>
          <w:bCs/>
          <w:color w:val="auto"/>
          <w:sz w:val="24"/>
        </w:rPr>
        <w:t>25.1</w:t>
      </w:r>
      <w:r>
        <w:rPr>
          <w:rFonts w:hint="eastAsia" w:ascii="仿宋" w:eastAsia="仿宋" w:cs="仿宋"/>
          <w:bCs/>
          <w:color w:val="auto"/>
          <w:sz w:val="24"/>
          <w:lang w:val="zh-CN"/>
        </w:rPr>
        <w:t>采购人参照《财政部关于进一步加强政府采购需求和履约验收管理的指导意见》（财库〔2016〕205号）的规定进行验收</w:t>
      </w:r>
      <w:r>
        <w:rPr>
          <w:rFonts w:hint="eastAsia" w:ascii="仿宋" w:eastAsia="仿宋" w:cs="仿宋"/>
          <w:bCs/>
          <w:color w:val="auto"/>
          <w:sz w:val="24"/>
        </w:rPr>
        <w:t>。</w:t>
      </w:r>
    </w:p>
    <w:p>
      <w:pPr>
        <w:spacing w:line="360" w:lineRule="auto"/>
        <w:ind w:firstLine="491"/>
        <w:rPr>
          <w:rFonts w:ascii="仿宋" w:eastAsia="仿宋" w:cs="仿宋"/>
          <w:bCs/>
          <w:color w:val="auto"/>
          <w:sz w:val="24"/>
        </w:rPr>
      </w:pPr>
      <w:r>
        <w:rPr>
          <w:rFonts w:hint="eastAsia" w:ascii="仿宋" w:eastAsia="仿宋" w:cs="仿宋"/>
          <w:bCs/>
          <w:color w:val="auto"/>
          <w:sz w:val="24"/>
        </w:rPr>
        <w:t>25.2验收结果合格的，成交供应商</w:t>
      </w:r>
      <w:r>
        <w:rPr>
          <w:rFonts w:hint="eastAsia" w:ascii="仿宋" w:hAnsi="仿宋" w:eastAsia="仿宋" w:cs="仿宋"/>
          <w:color w:val="auto"/>
          <w:sz w:val="24"/>
        </w:rPr>
        <w:t>凭验收报告办理相关手续；</w:t>
      </w:r>
      <w:r>
        <w:rPr>
          <w:rFonts w:hint="eastAsia" w:ascii="仿宋" w:eastAsia="仿宋" w:cs="仿宋"/>
          <w:bCs/>
          <w:color w:val="auto"/>
          <w:sz w:val="24"/>
        </w:rPr>
        <w:t>验收结果不合格的，履约保证金将不予退还，也将不予支付采购资金。</w:t>
      </w:r>
    </w:p>
    <w:p>
      <w:pPr>
        <w:spacing w:line="360" w:lineRule="auto"/>
        <w:ind w:firstLine="491"/>
        <w:rPr>
          <w:rFonts w:ascii="仿宋" w:hAnsi="仿宋" w:eastAsia="仿宋" w:cs="仿宋"/>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26.资金支付</w:t>
      </w:r>
    </w:p>
    <w:p>
      <w:pPr>
        <w:spacing w:line="360" w:lineRule="auto"/>
        <w:ind w:firstLine="491"/>
        <w:rPr>
          <w:rFonts w:ascii="仿宋" w:eastAsia="仿宋" w:cs="仿宋"/>
          <w:bCs/>
          <w:color w:val="auto"/>
          <w:sz w:val="24"/>
        </w:rPr>
      </w:pPr>
      <w:r>
        <w:rPr>
          <w:rFonts w:hint="eastAsia" w:ascii="仿宋" w:eastAsia="仿宋" w:cs="仿宋"/>
          <w:bCs/>
          <w:color w:val="auto"/>
          <w:sz w:val="24"/>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pPr>
        <w:spacing w:beforeLines="100" w:afterLines="100" w:line="360" w:lineRule="auto"/>
        <w:jc w:val="center"/>
        <w:outlineLvl w:val="1"/>
        <w:rPr>
          <w:rFonts w:ascii="仿宋" w:hAnsi="仿宋" w:eastAsia="仿宋" w:cs="仿宋"/>
          <w:b/>
          <w:color w:val="auto"/>
          <w:sz w:val="28"/>
          <w:szCs w:val="28"/>
        </w:rPr>
      </w:pPr>
      <w:r>
        <w:rPr>
          <w:rFonts w:hint="eastAsia" w:ascii="仿宋" w:hAnsi="仿宋" w:eastAsia="仿宋" w:cs="仿宋"/>
          <w:b/>
          <w:color w:val="auto"/>
          <w:sz w:val="30"/>
          <w:szCs w:val="30"/>
        </w:rPr>
        <w:t>八、采购纪律要求</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27.供应商不得具有的情形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供应商参加本项目采购不得有下列情形：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（1）提供虚假材料谋取成交；</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（2）采取不正当手段诋毁、排挤其他供应商；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（3）与采购单位、其他供应商恶意串通；</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（4）向采购单位、评审委员会成员行贿或者提供其他不正当利益；</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（5）在采购过程中与采购单位进行协商谈判；</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（6）成交或者成交后无正当理由拒不与采购人签订采购合同；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（7）未按照竞争性谈判文件确定的事项签订采购合同；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（8）将采购合同转包或者违规分包；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（9）提供假冒伪劣产品；</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（10）擅自变更、中止或者终止采购合同；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（11）拒绝有关部门的监督检查或者向监督检查部门提供虚假情况；</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（12）法律法规规定的其他情形。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供应商有上述情形的，按照规定追究法律责任，具备（1）-（10）条情形之一的，同时将取消成交资格或者认定成交无效。</w:t>
      </w:r>
    </w:p>
    <w:p>
      <w:pPr>
        <w:spacing w:line="360" w:lineRule="auto"/>
        <w:ind w:firstLine="482" w:firstLineChars="200"/>
        <w:rPr>
          <w:rFonts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28.保密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28.1不得透露有关购买谈判文件的潜在供应商的任何情况。</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28.2有关响应文件的审查、澄清、评估和比较以及合同授予意向等情况都不得对外透露。</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28.3供应商不得以任何方式干扰评审活动，否则其报价无效并追究其法律责任。</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28.4采购代理机构将指定专人负责评审过程中的全部联系工作。</w:t>
      </w:r>
    </w:p>
    <w:p>
      <w:pPr>
        <w:spacing w:beforeLines="100"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九、其他</w:t>
      </w:r>
    </w:p>
    <w:p>
      <w:pPr>
        <w:spacing w:line="360" w:lineRule="auto"/>
        <w:ind w:firstLine="480" w:firstLineChars="200"/>
        <w:rPr>
          <w:rFonts w:ascii="仿宋" w:hAnsi="仿宋" w:eastAsia="仿宋" w:cs="仿宋"/>
          <w:b/>
          <w:bCs/>
          <w:color w:val="auto"/>
          <w:sz w:val="36"/>
          <w:szCs w:val="36"/>
        </w:rPr>
      </w:pPr>
      <w:r>
        <w:rPr>
          <w:rFonts w:hint="eastAsia" w:ascii="仿宋" w:hAnsi="仿宋" w:eastAsia="仿宋" w:cs="仿宋"/>
          <w:bCs/>
          <w:color w:val="auto"/>
          <w:sz w:val="24"/>
        </w:rPr>
        <w:t>本竞争性谈判文件中所引相关法律制度规定，在采购活动中有变化的，按照变化后的相关法律制度规定执行。本章和第八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20206"/>
      <w:bookmarkStart w:id="19" w:name="_Toc28047"/>
      <w:bookmarkStart w:id="20" w:name="_Toc32389"/>
    </w:p>
    <w:p>
      <w:pPr>
        <w:spacing w:before="100" w:beforeAutospacing="1" w:after="50" w:line="360" w:lineRule="auto"/>
        <w:rPr>
          <w:rFonts w:ascii="仿宋" w:hAnsi="仿宋" w:eastAsia="仿宋" w:cs="仿宋"/>
          <w:b/>
          <w:bCs/>
          <w:color w:val="auto"/>
          <w:sz w:val="36"/>
          <w:szCs w:val="36"/>
        </w:rPr>
        <w:sectPr>
          <w:pgSz w:w="11850" w:h="16783"/>
          <w:pgMar w:top="1440" w:right="1531" w:bottom="1440" w:left="1644" w:header="851" w:footer="992" w:gutter="0"/>
          <w:cols w:space="720" w:num="1"/>
          <w:docGrid w:linePitch="312" w:charSpace="0"/>
        </w:sectPr>
      </w:pPr>
    </w:p>
    <w:p>
      <w:pPr>
        <w:pStyle w:val="25"/>
        <w:snapToGrid w:val="0"/>
        <w:spacing w:beforeLines="50" w:afterLines="100" w:line="360" w:lineRule="auto"/>
        <w:jc w:val="center"/>
        <w:outlineLvl w:val="0"/>
        <w:rPr>
          <w:rFonts w:ascii="仿宋" w:hAnsi="仿宋" w:eastAsia="仿宋" w:cs="仿宋"/>
          <w:bCs/>
          <w:color w:val="auto"/>
        </w:rPr>
      </w:pPr>
      <w:bookmarkStart w:id="21" w:name="_Toc11322"/>
      <w:bookmarkStart w:id="22" w:name="_Toc7520"/>
      <w:bookmarkStart w:id="23" w:name="_Toc1630"/>
      <w:r>
        <w:rPr>
          <w:rFonts w:hint="eastAsia" w:ascii="仿宋" w:hAnsi="仿宋" w:eastAsia="仿宋" w:cs="仿宋"/>
          <w:b/>
          <w:bCs/>
          <w:color w:val="auto"/>
          <w:kern w:val="2"/>
          <w:sz w:val="36"/>
          <w:szCs w:val="36"/>
        </w:rPr>
        <w:t>第三章供应商的资格条件要求</w:t>
      </w:r>
      <w:bookmarkEnd w:id="18"/>
      <w:bookmarkEnd w:id="19"/>
      <w:bookmarkEnd w:id="20"/>
      <w:bookmarkEnd w:id="21"/>
      <w:bookmarkEnd w:id="22"/>
      <w:bookmarkEnd w:id="23"/>
    </w:p>
    <w:p>
      <w:pPr>
        <w:snapToGrid w:val="0"/>
        <w:spacing w:line="360" w:lineRule="auto"/>
        <w:ind w:firstLine="482" w:firstLineChars="200"/>
        <w:outlineLvl w:val="1"/>
        <w:rPr>
          <w:rFonts w:ascii="仿宋" w:hAnsi="仿宋" w:eastAsia="仿宋" w:cs="仿宋"/>
          <w:b/>
          <w:color w:val="auto"/>
          <w:sz w:val="24"/>
        </w:rPr>
      </w:pPr>
      <w:r>
        <w:rPr>
          <w:rFonts w:hint="eastAsia" w:ascii="仿宋" w:hAnsi="仿宋" w:eastAsia="仿宋" w:cs="仿宋"/>
          <w:b/>
          <w:color w:val="auto"/>
          <w:sz w:val="24"/>
        </w:rPr>
        <w:t>一、供应商应具备下列资格条件</w:t>
      </w:r>
    </w:p>
    <w:p>
      <w:pPr>
        <w:snapToGrid w:val="0"/>
        <w:spacing w:line="360" w:lineRule="auto"/>
        <w:ind w:firstLine="482" w:firstLineChars="200"/>
        <w:outlineLvl w:val="2"/>
        <w:rPr>
          <w:rFonts w:ascii="仿宋" w:hAnsi="仿宋" w:eastAsia="仿宋" w:cs="仿宋"/>
          <w:b/>
          <w:color w:val="auto"/>
          <w:sz w:val="24"/>
        </w:rPr>
      </w:pPr>
      <w:r>
        <w:rPr>
          <w:rFonts w:hint="eastAsia" w:ascii="仿宋" w:hAnsi="仿宋" w:eastAsia="仿宋" w:cs="仿宋"/>
          <w:b/>
          <w:color w:val="auto"/>
          <w:sz w:val="24"/>
        </w:rPr>
        <w:t>（一）满足本项目要求的基本资格条件</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1、具有独立承担民事责任的能力；</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2、具有良好的商业信誉和健全的财务会计制度；</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3、具有履行合同所必需的设备和专业技术能力；</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4、有依法缴纳税收和社会保障资金的良好记录；</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5、参加本次项目采购活动前三年内，在经营活动中没有重大违法记录；</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6、法律、行政法规规定的其他条件。</w:t>
      </w:r>
    </w:p>
    <w:p>
      <w:pPr>
        <w:spacing w:line="360" w:lineRule="auto"/>
        <w:ind w:firstLine="480"/>
        <w:outlineLvl w:val="2"/>
        <w:rPr>
          <w:rFonts w:ascii="仿宋" w:hAnsi="仿宋" w:eastAsia="仿宋" w:cs="仿宋"/>
          <w:b/>
          <w:color w:val="auto"/>
          <w:sz w:val="24"/>
        </w:rPr>
      </w:pPr>
      <w:r>
        <w:rPr>
          <w:rFonts w:hint="eastAsia" w:ascii="仿宋" w:hAnsi="仿宋" w:eastAsia="仿宋" w:cs="仿宋"/>
          <w:b/>
          <w:color w:val="auto"/>
          <w:sz w:val="24"/>
        </w:rPr>
        <w:t>（二）满足本项目要求的特定资格条件</w:t>
      </w:r>
    </w:p>
    <w:p>
      <w:pPr>
        <w:spacing w:line="360" w:lineRule="auto"/>
        <w:ind w:firstLine="420" w:firstLineChars="200"/>
        <w:rPr>
          <w:rFonts w:ascii="仿宋" w:hAnsi="仿宋" w:cs="仿宋"/>
          <w:bCs/>
          <w:color w:val="auto"/>
          <w:sz w:val="24"/>
        </w:rPr>
      </w:pPr>
      <w:r>
        <w:rPr>
          <w:rFonts w:hint="eastAsia"/>
          <w:color w:val="auto"/>
        </w:rPr>
        <w:t>无。</w:t>
      </w:r>
    </w:p>
    <w:p>
      <w:pPr>
        <w:pStyle w:val="2"/>
        <w:rPr>
          <w:color w:val="auto"/>
        </w:rPr>
      </w:pPr>
    </w:p>
    <w:p>
      <w:pPr>
        <w:spacing w:line="360" w:lineRule="auto"/>
        <w:ind w:firstLine="420" w:firstLineChars="200"/>
        <w:rPr>
          <w:color w:val="auto"/>
        </w:rPr>
      </w:pPr>
    </w:p>
    <w:p>
      <w:pPr>
        <w:snapToGrid w:val="0"/>
        <w:spacing w:line="360" w:lineRule="auto"/>
        <w:ind w:firstLine="482" w:firstLineChars="200"/>
        <w:outlineLvl w:val="1"/>
        <w:rPr>
          <w:rFonts w:ascii="仿宋" w:hAnsi="仿宋" w:eastAsia="仿宋" w:cs="仿宋"/>
          <w:b/>
          <w:color w:val="auto"/>
          <w:sz w:val="24"/>
        </w:rPr>
      </w:pPr>
      <w:r>
        <w:rPr>
          <w:rFonts w:hint="eastAsia" w:ascii="仿宋" w:hAnsi="仿宋" w:eastAsia="仿宋" w:cs="仿宋"/>
          <w:b/>
          <w:color w:val="auto"/>
          <w:sz w:val="24"/>
        </w:rPr>
        <w:t>二、满足本项目的其他具有类似效力的要求</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供应商代表为供应商法定代表人或其授权参加本次谈判活动的合法代表。</w:t>
      </w:r>
    </w:p>
    <w:p>
      <w:pPr>
        <w:spacing w:line="360" w:lineRule="auto"/>
        <w:rPr>
          <w:color w:val="auto"/>
        </w:rPr>
      </w:pPr>
    </w:p>
    <w:p>
      <w:pPr>
        <w:spacing w:line="360" w:lineRule="auto"/>
        <w:rPr>
          <w:color w:val="auto"/>
        </w:rPr>
      </w:pPr>
    </w:p>
    <w:p>
      <w:pPr>
        <w:pStyle w:val="2"/>
        <w:spacing w:line="360" w:lineRule="auto"/>
        <w:rPr>
          <w:color w:val="auto"/>
        </w:rPr>
      </w:pPr>
    </w:p>
    <w:p>
      <w:pPr>
        <w:pStyle w:val="87"/>
        <w:ind w:firstLine="0" w:firstLineChars="0"/>
        <w:rPr>
          <w:rFonts w:ascii="仿宋" w:hAnsi="仿宋" w:eastAsia="仿宋" w:cs="仿宋"/>
          <w:b/>
          <w:bCs/>
          <w:color w:val="auto"/>
          <w:sz w:val="24"/>
        </w:rPr>
      </w:pPr>
      <w:r>
        <w:rPr>
          <w:rFonts w:hint="eastAsia" w:ascii="仿宋" w:hAnsi="仿宋" w:eastAsia="仿宋" w:cs="仿宋"/>
          <w:b/>
          <w:bCs/>
          <w:color w:val="auto"/>
          <w:sz w:val="24"/>
        </w:rPr>
        <w:t>注：1.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
        <w:spacing w:line="360" w:lineRule="auto"/>
        <w:ind w:firstLine="482" w:firstLineChars="200"/>
        <w:rPr>
          <w:rFonts w:ascii="仿宋" w:hAnsi="仿宋" w:eastAsia="仿宋" w:cs="仿宋"/>
          <w:b/>
          <w:color w:val="auto"/>
          <w:sz w:val="24"/>
        </w:rPr>
        <w:sectPr>
          <w:pgSz w:w="11850" w:h="16783"/>
          <w:pgMar w:top="1440" w:right="1531" w:bottom="1440" w:left="1644" w:header="851" w:footer="992" w:gutter="0"/>
          <w:cols w:space="720" w:num="1"/>
          <w:docGrid w:linePitch="312" w:charSpace="0"/>
        </w:sectPr>
      </w:pPr>
      <w:r>
        <w:rPr>
          <w:rFonts w:hint="eastAsia" w:ascii="仿宋" w:hAnsi="仿宋" w:eastAsia="仿宋" w:cs="仿宋"/>
          <w:b/>
          <w:bCs w:val="0"/>
          <w:color w:val="auto"/>
          <w:sz w:val="24"/>
        </w:rPr>
        <w:t>2.</w:t>
      </w:r>
      <w:r>
        <w:rPr>
          <w:rFonts w:hint="eastAsia" w:ascii="仿宋" w:hAnsi="仿宋" w:eastAsia="仿宋" w:cs="仿宋"/>
          <w:b/>
          <w:color w:val="auto"/>
          <w:sz w:val="24"/>
        </w:rPr>
        <w:t>供应商若不符合第二章供应商须知前附表“信用记录查询及使用”或“充分、公平竞争保障措施”规定，视为资格审查不通过。</w:t>
      </w:r>
    </w:p>
    <w:p>
      <w:pPr>
        <w:spacing w:beforeLines="50" w:afterLines="100"/>
        <w:jc w:val="center"/>
        <w:outlineLvl w:val="0"/>
        <w:rPr>
          <w:rFonts w:ascii="仿宋" w:hAnsi="仿宋" w:eastAsia="仿宋" w:cs="仿宋"/>
          <w:b/>
          <w:bCs/>
          <w:color w:val="auto"/>
          <w:sz w:val="36"/>
          <w:szCs w:val="36"/>
        </w:rPr>
      </w:pPr>
      <w:bookmarkStart w:id="24" w:name="_Toc3076"/>
      <w:bookmarkStart w:id="25" w:name="_Toc24325"/>
      <w:bookmarkStart w:id="26" w:name="_Toc22893"/>
      <w:bookmarkStart w:id="27" w:name="_Toc21415"/>
      <w:bookmarkStart w:id="28" w:name="_Toc14481"/>
      <w:r>
        <w:rPr>
          <w:rFonts w:hint="eastAsia" w:ascii="仿宋" w:hAnsi="仿宋" w:eastAsia="仿宋" w:cs="仿宋"/>
          <w:b/>
          <w:bCs/>
          <w:color w:val="auto"/>
          <w:sz w:val="36"/>
          <w:szCs w:val="36"/>
        </w:rPr>
        <w:t>第四章 供应商应当提供的资格证明材料</w:t>
      </w:r>
      <w:bookmarkEnd w:id="24"/>
      <w:bookmarkEnd w:id="25"/>
      <w:bookmarkEnd w:id="26"/>
      <w:bookmarkEnd w:id="27"/>
      <w:bookmarkEnd w:id="28"/>
    </w:p>
    <w:p>
      <w:pPr>
        <w:spacing w:line="400" w:lineRule="exact"/>
        <w:ind w:firstLine="482" w:firstLineChars="200"/>
        <w:rPr>
          <w:rFonts w:ascii="仿宋" w:hAnsi="仿宋" w:eastAsia="仿宋" w:cs="仿宋"/>
          <w:b/>
          <w:bCs/>
          <w:color w:val="auto"/>
          <w:sz w:val="24"/>
        </w:rPr>
      </w:pPr>
    </w:p>
    <w:p>
      <w:pPr>
        <w:spacing w:line="360" w:lineRule="auto"/>
        <w:ind w:firstLine="482" w:firstLineChars="200"/>
        <w:outlineLvl w:val="1"/>
        <w:rPr>
          <w:rFonts w:ascii="仿宋" w:hAnsi="仿宋" w:eastAsia="仿宋" w:cs="仿宋"/>
          <w:b/>
          <w:bCs/>
          <w:color w:val="auto"/>
          <w:sz w:val="24"/>
        </w:rPr>
      </w:pPr>
      <w:r>
        <w:rPr>
          <w:rFonts w:hint="eastAsia" w:ascii="仿宋" w:hAnsi="仿宋" w:eastAsia="仿宋" w:cs="仿宋"/>
          <w:b/>
          <w:bCs/>
          <w:color w:val="auto"/>
          <w:sz w:val="24"/>
        </w:rPr>
        <w:t>一、满足本项目基本资格条件的证明材料</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1、营业执照等证明文件</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（1）供应商若为企业法人：提供“统一社会信用代码营业执照”；</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（2）供应商若为事业法人：提供“统一社会信用代码法人登记证书”；</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（3）供应商若为其他组织：提供“对应主管部门颁发的准许执业证明文件或营业执照”；</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（4）供应商若为自然人，提供“身份证明材料”；</w:t>
      </w:r>
    </w:p>
    <w:p>
      <w:pPr>
        <w:spacing w:line="360" w:lineRule="auto"/>
        <w:ind w:firstLine="480" w:firstLineChars="200"/>
        <w:rPr>
          <w:color w:val="auto"/>
        </w:rPr>
      </w:pPr>
      <w:r>
        <w:rPr>
          <w:rFonts w:hint="eastAsia" w:ascii="仿宋" w:hAnsi="仿宋" w:eastAsia="仿宋" w:cs="仿宋"/>
          <w:color w:val="auto"/>
          <w:sz w:val="24"/>
          <w:szCs w:val="32"/>
        </w:rPr>
        <w:t>2、</w:t>
      </w:r>
      <w:r>
        <w:rPr>
          <w:rFonts w:hint="eastAsia" w:ascii="仿宋" w:hAnsi="仿宋" w:eastAsia="仿宋" w:cs="仿宋"/>
          <w:color w:val="auto"/>
          <w:sz w:val="24"/>
        </w:rPr>
        <w:t>提供有效的“资格声明函”</w:t>
      </w:r>
      <w:r>
        <w:rPr>
          <w:rFonts w:hint="eastAsia" w:ascii="仿宋" w:hAnsi="仿宋" w:eastAsia="仿宋" w:cs="仿宋"/>
          <w:b/>
          <w:bCs/>
          <w:color w:val="auto"/>
          <w:sz w:val="24"/>
        </w:rPr>
        <w:t>（格式详见 格式1-4）</w:t>
      </w:r>
      <w:r>
        <w:rPr>
          <w:rFonts w:hint="eastAsia" w:ascii="仿宋" w:hAnsi="仿宋" w:eastAsia="仿宋" w:cs="仿宋"/>
          <w:color w:val="auto"/>
          <w:sz w:val="24"/>
        </w:rPr>
        <w:t>。</w:t>
      </w:r>
    </w:p>
    <w:p>
      <w:pPr>
        <w:spacing w:line="360" w:lineRule="auto"/>
        <w:jc w:val="left"/>
        <w:rPr>
          <w:rFonts w:ascii="仿宋" w:hAnsi="仿宋" w:eastAsia="仿宋" w:cs="仿宋"/>
          <w:b/>
          <w:color w:val="auto"/>
          <w:sz w:val="24"/>
        </w:rPr>
      </w:pPr>
    </w:p>
    <w:p>
      <w:pPr>
        <w:spacing w:line="360" w:lineRule="auto"/>
        <w:ind w:firstLine="482" w:firstLineChars="200"/>
        <w:jc w:val="left"/>
        <w:outlineLvl w:val="1"/>
        <w:rPr>
          <w:rFonts w:ascii="仿宋" w:hAnsi="仿宋" w:eastAsia="仿宋" w:cs="仿宋"/>
          <w:b/>
          <w:bCs/>
          <w:color w:val="auto"/>
          <w:sz w:val="24"/>
          <w:szCs w:val="32"/>
        </w:rPr>
      </w:pPr>
      <w:r>
        <w:rPr>
          <w:rFonts w:hint="eastAsia" w:ascii="仿宋" w:hAnsi="仿宋" w:eastAsia="仿宋" w:cs="仿宋"/>
          <w:b/>
          <w:bCs/>
          <w:color w:val="auto"/>
          <w:sz w:val="24"/>
          <w:szCs w:val="32"/>
        </w:rPr>
        <w:t>二、满足本项目特定资格条件的证明材料</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无。</w:t>
      </w:r>
    </w:p>
    <w:p>
      <w:pPr>
        <w:spacing w:line="360" w:lineRule="auto"/>
        <w:ind w:firstLine="241" w:firstLineChars="100"/>
        <w:rPr>
          <w:rFonts w:ascii="仿宋" w:hAnsi="仿宋" w:eastAsia="仿宋" w:cs="仿宋"/>
          <w:b/>
          <w:color w:val="auto"/>
          <w:sz w:val="24"/>
        </w:rPr>
      </w:pPr>
    </w:p>
    <w:p>
      <w:pPr>
        <w:spacing w:line="360" w:lineRule="auto"/>
        <w:ind w:firstLine="482" w:firstLineChars="200"/>
        <w:outlineLvl w:val="1"/>
        <w:rPr>
          <w:rFonts w:ascii="仿宋" w:hAnsi="仿宋" w:eastAsia="仿宋" w:cs="仿宋"/>
          <w:b/>
          <w:bCs/>
          <w:color w:val="auto"/>
          <w:sz w:val="24"/>
          <w:szCs w:val="22"/>
        </w:rPr>
      </w:pPr>
      <w:r>
        <w:rPr>
          <w:rFonts w:hint="eastAsia" w:ascii="仿宋" w:hAnsi="仿宋" w:eastAsia="仿宋" w:cs="仿宋"/>
          <w:b/>
          <w:color w:val="auto"/>
          <w:sz w:val="24"/>
        </w:rPr>
        <w:t>三、满足本项目其他</w:t>
      </w:r>
      <w:r>
        <w:rPr>
          <w:rFonts w:hint="eastAsia" w:ascii="仿宋" w:hAnsi="仿宋" w:eastAsia="仿宋" w:cs="仿宋"/>
          <w:b/>
          <w:color w:val="auto"/>
          <w:sz w:val="24"/>
          <w:szCs w:val="22"/>
        </w:rPr>
        <w:t>具有类似效力的</w:t>
      </w:r>
      <w:r>
        <w:rPr>
          <w:rFonts w:hint="eastAsia" w:ascii="仿宋" w:hAnsi="仿宋" w:eastAsia="仿宋" w:cs="仿宋"/>
          <w:b/>
          <w:bCs/>
          <w:color w:val="auto"/>
          <w:sz w:val="24"/>
          <w:szCs w:val="22"/>
        </w:rPr>
        <w:t>证明材料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法定代表人身份证明书原件（供应商代表为法定代表人时提供）或法定代</w:t>
      </w:r>
      <w:r>
        <w:rPr>
          <w:rFonts w:hint="eastAsia" w:ascii="仿宋" w:hAnsi="仿宋" w:eastAsia="仿宋" w:cs="仿宋"/>
          <w:bCs/>
          <w:color w:val="auto"/>
          <w:sz w:val="24"/>
        </w:rPr>
        <w:t>表人授权委托书原件（供应商代表为非法定代表人时提供）。</w:t>
      </w:r>
    </w:p>
    <w:p>
      <w:pPr>
        <w:spacing w:line="360" w:lineRule="auto"/>
        <w:rPr>
          <w:rFonts w:ascii="仿宋" w:hAnsi="仿宋" w:eastAsia="仿宋" w:cs="仿宋"/>
          <w:b/>
          <w:bCs/>
          <w:color w:val="auto"/>
          <w:sz w:val="24"/>
        </w:rPr>
      </w:pP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color w:val="auto"/>
          <w:sz w:val="24"/>
        </w:rPr>
      </w:pPr>
      <w:r>
        <w:rPr>
          <w:rFonts w:hint="eastAsia" w:ascii="仿宋" w:hAnsi="仿宋" w:eastAsia="仿宋" w:cs="仿宋"/>
          <w:b/>
          <w:bCs/>
          <w:color w:val="auto"/>
          <w:sz w:val="24"/>
        </w:rPr>
        <w:t>注：</w:t>
      </w:r>
      <w:r>
        <w:rPr>
          <w:rFonts w:hint="eastAsia" w:ascii="仿宋" w:hAnsi="仿宋" w:eastAsia="仿宋" w:cs="仿宋"/>
          <w:b/>
          <w:color w:val="auto"/>
          <w:sz w:val="24"/>
        </w:rPr>
        <w:t>1.本章要求提供的证件都应在有效期内，所有影印件都须加盖公章。</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2.未按本章要求提供齐全相关资格性审查资料的、或者经审查未响应本章相关要求的，资格审查不能通过。</w:t>
      </w:r>
    </w:p>
    <w:p>
      <w:pPr>
        <w:spacing w:line="400" w:lineRule="exact"/>
        <w:ind w:firstLine="482" w:firstLineChars="200"/>
        <w:rPr>
          <w:rFonts w:ascii="仿宋" w:hAnsi="仿宋" w:eastAsia="仿宋" w:cs="仿宋"/>
          <w:b/>
          <w:bCs/>
          <w:color w:val="auto"/>
          <w:sz w:val="24"/>
        </w:rPr>
      </w:pPr>
    </w:p>
    <w:p>
      <w:pPr>
        <w:pStyle w:val="25"/>
        <w:spacing w:beforeLines="50" w:afterLines="100" w:line="360" w:lineRule="auto"/>
        <w:jc w:val="center"/>
        <w:outlineLvl w:val="0"/>
        <w:rPr>
          <w:rFonts w:ascii="仿宋" w:hAnsi="仿宋" w:eastAsia="仿宋" w:cs="仿宋"/>
          <w:b/>
          <w:bCs/>
          <w:color w:val="auto"/>
          <w:kern w:val="2"/>
          <w:sz w:val="36"/>
          <w:szCs w:val="36"/>
        </w:rPr>
      </w:pPr>
      <w:r>
        <w:rPr>
          <w:rFonts w:hint="eastAsia" w:ascii="仿宋" w:hAnsi="仿宋" w:eastAsia="仿宋" w:cs="仿宋"/>
          <w:b/>
          <w:bCs/>
          <w:color w:val="auto"/>
          <w:kern w:val="2"/>
          <w:sz w:val="36"/>
          <w:szCs w:val="36"/>
        </w:rPr>
        <w:br w:type="page"/>
      </w:r>
      <w:bookmarkStart w:id="29" w:name="_Toc28624"/>
      <w:bookmarkStart w:id="30" w:name="_Toc18202"/>
      <w:bookmarkStart w:id="31" w:name="_Toc15132"/>
      <w:bookmarkStart w:id="32" w:name="_Toc7469"/>
      <w:bookmarkStart w:id="33" w:name="_Toc9934"/>
      <w:bookmarkStart w:id="34" w:name="_Toc16028"/>
      <w:r>
        <w:rPr>
          <w:rFonts w:hint="eastAsia" w:ascii="仿宋" w:hAnsi="仿宋" w:eastAsia="仿宋" w:cs="仿宋"/>
          <w:b/>
          <w:bCs/>
          <w:color w:val="auto"/>
          <w:kern w:val="2"/>
          <w:sz w:val="36"/>
          <w:szCs w:val="36"/>
        </w:rPr>
        <w:t>第五章 采购项目内容及商务要求</w:t>
      </w:r>
      <w:bookmarkEnd w:id="29"/>
      <w:bookmarkEnd w:id="30"/>
      <w:bookmarkEnd w:id="31"/>
      <w:bookmarkEnd w:id="32"/>
      <w:bookmarkEnd w:id="33"/>
      <w:bookmarkEnd w:id="34"/>
    </w:p>
    <w:p>
      <w:pPr>
        <w:pStyle w:val="6"/>
        <w:keepLines/>
        <w:spacing w:beforeLines="100" w:line="360" w:lineRule="auto"/>
        <w:ind w:firstLine="482" w:firstLineChars="200"/>
        <w:rPr>
          <w:rFonts w:ascii="仿宋" w:hAnsi="仿宋" w:eastAsia="仿宋" w:cs="仿宋"/>
          <w:bCs/>
          <w:color w:val="auto"/>
          <w:sz w:val="24"/>
        </w:rPr>
      </w:pPr>
      <w:bookmarkStart w:id="35" w:name="_Toc217446094"/>
      <w:r>
        <w:rPr>
          <w:rFonts w:hint="eastAsia" w:ascii="仿宋" w:hAnsi="仿宋" w:eastAsia="仿宋" w:cs="仿宋"/>
          <w:bCs/>
          <w:color w:val="auto"/>
          <w:sz w:val="24"/>
        </w:rPr>
        <w:t>一、项目概述</w:t>
      </w:r>
      <w:bookmarkEnd w:id="35"/>
    </w:p>
    <w:p>
      <w:pPr>
        <w:spacing w:line="360" w:lineRule="auto"/>
        <w:ind w:firstLine="480" w:firstLineChars="200"/>
        <w:jc w:val="left"/>
        <w:rPr>
          <w:rFonts w:ascii="仿宋" w:hAnsi="仿宋" w:eastAsia="仿宋" w:cs="仿宋"/>
          <w:b/>
          <w:color w:val="auto"/>
          <w:sz w:val="40"/>
          <w:szCs w:val="40"/>
        </w:rPr>
      </w:pPr>
      <w:bookmarkStart w:id="36" w:name="_Toc18538"/>
      <w:r>
        <w:rPr>
          <w:rFonts w:hint="eastAsia" w:ascii="仿宋" w:hAnsi="仿宋" w:eastAsia="仿宋" w:cs="仿宋"/>
          <w:color w:val="auto"/>
          <w:sz w:val="24"/>
        </w:rPr>
        <w:t>富顺县中医医院（同心院区、富达路院区）为确保医院中央空调、手术室洁净空调、精密空调、净化设备、新风设备等系统的设备始终处于良好的运行状态，洁净净手术室的七大洁净指标(温湿度、风速或换气次数、噪声、压差、照度、尘埃粒子)符合《医院洁净手术部建筑技术规范》GB50333-2013标准、《医院空气净化管理规范》WS/T368-2012、《公共场所集中空调通风系统清洗消毒规范》（WS/T 10005—2023）标准及符合《中华人民共和国床染病防治法》《公共场所卫生管理条例》及其《实施条例》《四川公共场所卫生管理办法》。同时达到节能降耗降低运行成本和延长使用寿命，让医务人员和病员，有更好的工作环境和就医环境。</w:t>
      </w:r>
    </w:p>
    <w:p>
      <w:pPr>
        <w:spacing w:line="400" w:lineRule="exact"/>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★二、</w:t>
      </w:r>
      <w:bookmarkEnd w:id="36"/>
      <w:r>
        <w:rPr>
          <w:rFonts w:hint="eastAsia" w:ascii="仿宋" w:hAnsi="仿宋" w:eastAsia="仿宋" w:cs="仿宋"/>
          <w:b/>
          <w:bCs/>
          <w:color w:val="auto"/>
          <w:sz w:val="24"/>
        </w:rPr>
        <w:t>采购标的</w:t>
      </w:r>
    </w:p>
    <w:tbl>
      <w:tblPr>
        <w:tblStyle w:val="26"/>
        <w:tblW w:w="8895" w:type="dxa"/>
        <w:jc w:val="center"/>
        <w:tblLayout w:type="fixed"/>
        <w:tblCellMar>
          <w:top w:w="0" w:type="dxa"/>
          <w:left w:w="0" w:type="dxa"/>
          <w:bottom w:w="0" w:type="dxa"/>
          <w:right w:w="0" w:type="dxa"/>
        </w:tblCellMar>
      </w:tblPr>
      <w:tblGrid>
        <w:gridCol w:w="693"/>
        <w:gridCol w:w="3550"/>
        <w:gridCol w:w="3579"/>
        <w:gridCol w:w="1073"/>
      </w:tblGrid>
      <w:tr>
        <w:tblPrEx>
          <w:tblCellMar>
            <w:top w:w="0" w:type="dxa"/>
            <w:left w:w="0" w:type="dxa"/>
            <w:bottom w:w="0" w:type="dxa"/>
            <w:right w:w="0" w:type="dxa"/>
          </w:tblCellMar>
        </w:tblPrEx>
        <w:trPr>
          <w:trHeight w:val="665" w:hRule="atLeast"/>
          <w:jc w:val="center"/>
        </w:trPr>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3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采购标的名称</w:t>
            </w:r>
          </w:p>
        </w:tc>
        <w:tc>
          <w:tcPr>
            <w:tcW w:w="3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CellMar>
            <w:top w:w="0" w:type="dxa"/>
            <w:left w:w="0" w:type="dxa"/>
            <w:bottom w:w="0" w:type="dxa"/>
            <w:right w:w="0" w:type="dxa"/>
          </w:tblCellMar>
        </w:tblPrEx>
        <w:trPr>
          <w:trHeight w:val="665" w:hRule="atLeast"/>
          <w:jc w:val="center"/>
        </w:trPr>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富顺县中医医院全院中央空调、手术室洁净空调、精密空调、净化设备、新风设备等维保服务</w:t>
            </w:r>
          </w:p>
        </w:tc>
        <w:tc>
          <w:tcPr>
            <w:tcW w:w="3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自合同签订之日起1年。</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9"/>
              <w:tabs>
                <w:tab w:val="left" w:pos="795"/>
              </w:tabs>
              <w:spacing w:line="400" w:lineRule="exact"/>
              <w:ind w:firstLine="0"/>
              <w:jc w:val="center"/>
              <w:rPr>
                <w:rFonts w:ascii="仿宋" w:hAnsi="仿宋" w:eastAsia="仿宋" w:cs="仿宋"/>
                <w:color w:val="auto"/>
                <w:sz w:val="24"/>
                <w:szCs w:val="24"/>
                <w:lang w:val="en-US" w:eastAsia="zh-CN"/>
              </w:rPr>
            </w:pPr>
          </w:p>
        </w:tc>
      </w:tr>
    </w:tbl>
    <w:p>
      <w:pPr>
        <w:pStyle w:val="119"/>
        <w:tabs>
          <w:tab w:val="left" w:pos="795"/>
        </w:tabs>
        <w:spacing w:line="400" w:lineRule="exact"/>
        <w:ind w:firstLine="420"/>
        <w:rPr>
          <w:rFonts w:ascii="仿宋" w:hAnsi="仿宋" w:eastAsia="仿宋" w:cs="仿宋"/>
          <w:color w:val="auto"/>
          <w:sz w:val="24"/>
          <w:szCs w:val="24"/>
          <w:lang w:val="en-US" w:eastAsia="zh-CN"/>
        </w:rPr>
      </w:pPr>
    </w:p>
    <w:p>
      <w:pPr>
        <w:spacing w:line="360"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★三、服务内容及要求</w:t>
      </w:r>
    </w:p>
    <w:p>
      <w:pPr>
        <w:pStyle w:val="2"/>
        <w:spacing w:line="360" w:lineRule="auto"/>
        <w:ind w:firstLine="480" w:firstLineChars="200"/>
        <w:rPr>
          <w:rFonts w:ascii="仿宋" w:hAnsi="仿宋" w:eastAsia="仿宋" w:cs="仿宋"/>
          <w:color w:val="auto"/>
          <w:sz w:val="24"/>
        </w:rPr>
      </w:pPr>
      <w:bookmarkStart w:id="37" w:name="_Toc25068"/>
      <w:r>
        <w:rPr>
          <w:rFonts w:hint="eastAsia" w:ascii="仿宋" w:hAnsi="仿宋" w:eastAsia="仿宋" w:cs="仿宋"/>
          <w:color w:val="auto"/>
          <w:sz w:val="24"/>
        </w:rPr>
        <w:t>（一）维保标准及目的</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1.中央空调系统和特殊科室的净化设备经过清洗、消毒保养，使其降低能源消耗，让使用环境的含尘量、含菌量达到卫生标准，创造良好的公共场所卫生条件，预防疾病，保障人体健康。</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2.严格按照卫生部颁发的《公共场所集中空调通风系统清洗消毒规范》（WS/T 10005—2023））、《集中空调通风系统清洗行业技术管理规范》（SB/T10594-2011）、《空调通风系统清洗规范》（GB19210-2003）,《通风空调系统清洗服务标准〉（JG/T4OO-2O12）、《医院消毒卫生标准》（GB15982-2012）执行清洗维保。</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3.在淡季时做好维保维护工作，确保设备的安全稳定运行。</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确保医院集中空调设备和特殊科室的净化设备始终处于良好的运行状态，各项指标达到相关的标准。如第三方检测公司对医院中央空调、净化空调按以上标准/规范检测不合格，供应商应立即维护保养，维护保养结果达到检测合格(检测费用由供应商负责)。</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（二）设备运行、维修、保养范围</w:t>
      </w:r>
    </w:p>
    <w:tbl>
      <w:tblPr>
        <w:tblStyle w:val="26"/>
        <w:tblW w:w="953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796"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设备运行、维修、保养工作职责内容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一期、二期中央空调主机系统及自动化控制系统；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一期、二期中央空调末端风机盘管及控制系统；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一期、二期燃气热水锅炉及控制系统；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一期、二期中央空调制冷、制热循环水管路及冷凝水排水系统；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一期、二期中央空调主机及末端风机盘管的电源线路系统；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放射科、信息科精密空调及磁共振水冷机组及控制系统；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新风设备系统维护保养及自动化系统；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保持中央空调机组整洁，空调机组、控制柜有序号标识；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清洗风机盘管的回风过滤网；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洁净手术室、ICU、PCR实验室、消毒供应室的净化空调系统及自动化控制系统；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手术室、ICU、PCR实验室、消毒供应室的排风系统及自动化控制系统；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手术室、ICU、PCR实验室、消毒供应室的风冷式模块机组及自动化控制系统；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手术室、ICU、PCR实验室、消毒供应室的机房的强弱电控制系统；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净化手术室、ICU机房、PCR实验室、消毒供应室的电气控制系统；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新风设备系统维护保养及自动化系统；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规范操作工作流程，定期排查重点部位，发现安全隐患及时排除；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保持净化设备机房环境及室外机整洁，空调机组、控制柜有序号标识；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更换一次性初、中效清洗新风过滤网；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19</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停机维修、保养操作时，要与使用科室负责人沟通，开机率不低于98%；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20</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负责设备机房的管理工作，工作制度、记录齐全；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按时间段每日、周、月、季度、年度安排工作计划进行定期维护，保存带水印影像资料并填写月检记录表由使用科室签字后交给医院存档。</w:t>
            </w: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（三）服务责任及承诺</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根据采购人设备情况，供应商安排维修耗材、维修配件及维修工具的及时到位，做到及时监测，需要更换的配件及时更换，不留隐患，要让设备在良好的状态下运行维保期间可以有效的保证集中式空调和特殊科室的净化设备各项指标（温度、湿度、洁净度、风速、压差、换气次数、噪声、照度）均符合国家标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2.为保障系统的有效功能和正常使用，所需要更换的单个配件、材料单价在</w:t>
      </w:r>
      <w:r>
        <w:rPr>
          <w:rFonts w:ascii="仿宋" w:hAnsi="仿宋" w:eastAsia="仿宋" w:cs="仿宋"/>
          <w:b/>
          <w:bCs w:val="0"/>
          <w:color w:val="auto"/>
          <w:sz w:val="24"/>
        </w:rPr>
        <w:t>300元以下的（包括300元）由供应商进行更换和维护保养，产生的费用由供应商承担。供应商在巡检中发现超过</w:t>
      </w:r>
      <w:r>
        <w:rPr>
          <w:rFonts w:hint="eastAsia" w:ascii="仿宋" w:hAnsi="仿宋" w:eastAsia="仿宋" w:cs="仿宋"/>
          <w:b/>
          <w:bCs w:val="0"/>
          <w:color w:val="auto"/>
          <w:sz w:val="24"/>
          <w:lang w:eastAsia="zh-CN"/>
        </w:rPr>
        <w:t>单价</w:t>
      </w:r>
      <w:r>
        <w:rPr>
          <w:rFonts w:ascii="仿宋" w:hAnsi="仿宋" w:eastAsia="仿宋" w:cs="仿宋"/>
          <w:b/>
          <w:bCs w:val="0"/>
          <w:color w:val="auto"/>
          <w:sz w:val="24"/>
        </w:rPr>
        <w:t>300元以上的单个配件、材料损坏，及时通知</w:t>
      </w:r>
      <w:r>
        <w:rPr>
          <w:rFonts w:hint="eastAsia" w:ascii="仿宋" w:hAnsi="仿宋" w:eastAsia="仿宋" w:cs="仿宋"/>
          <w:b/>
          <w:bCs w:val="0"/>
          <w:color w:val="auto"/>
          <w:sz w:val="24"/>
          <w:lang w:eastAsia="zh-CN"/>
        </w:rPr>
        <w:t>采购人</w:t>
      </w:r>
      <w:r>
        <w:rPr>
          <w:rFonts w:ascii="仿宋" w:hAnsi="仿宋" w:eastAsia="仿宋" w:cs="仿宋"/>
          <w:b/>
          <w:bCs w:val="0"/>
          <w:color w:val="auto"/>
          <w:sz w:val="24"/>
        </w:rPr>
        <w:t>，按市场调研最低询价更换和维护保养</w:t>
      </w:r>
      <w:r>
        <w:rPr>
          <w:rFonts w:hint="eastAsia" w:ascii="仿宋" w:hAnsi="仿宋" w:eastAsia="仿宋" w:cs="仿宋"/>
          <w:b/>
          <w:bCs w:val="0"/>
          <w:color w:val="auto"/>
          <w:sz w:val="24"/>
        </w:rPr>
        <w:t>（</w:t>
      </w:r>
      <w:r>
        <w:rPr>
          <w:rFonts w:hint="default" w:ascii="仿宋" w:hAnsi="仿宋" w:eastAsia="仿宋" w:cs="仿宋"/>
          <w:b/>
          <w:bCs w:val="0"/>
          <w:color w:val="auto"/>
          <w:sz w:val="24"/>
        </w:rPr>
        <w:t>价额</w:t>
      </w:r>
      <w:r>
        <w:rPr>
          <w:rFonts w:hint="eastAsia" w:ascii="仿宋" w:hAnsi="仿宋" w:eastAsia="仿宋" w:cs="仿宋"/>
          <w:b/>
          <w:bCs w:val="0"/>
          <w:color w:val="auto"/>
          <w:sz w:val="24"/>
        </w:rPr>
        <w:t>不</w:t>
      </w:r>
      <w:r>
        <w:rPr>
          <w:rFonts w:hint="eastAsia" w:ascii="仿宋" w:hAnsi="仿宋" w:eastAsia="仿宋" w:cs="仿宋"/>
          <w:b/>
          <w:bCs w:val="0"/>
          <w:color w:val="auto"/>
          <w:sz w:val="24"/>
          <w:lang w:eastAsia="zh-CN"/>
        </w:rPr>
        <w:t>再</w:t>
      </w:r>
      <w:r>
        <w:rPr>
          <w:rFonts w:hint="eastAsia" w:ascii="仿宋" w:hAnsi="仿宋" w:eastAsia="仿宋" w:cs="仿宋"/>
          <w:b/>
          <w:bCs w:val="0"/>
          <w:color w:val="auto"/>
          <w:sz w:val="24"/>
        </w:rPr>
        <w:t>进行下浮）</w:t>
      </w:r>
      <w:r>
        <w:rPr>
          <w:rFonts w:hint="eastAsia" w:ascii="仿宋" w:hAnsi="仿宋" w:eastAsia="仿宋" w:cs="仿宋"/>
          <w:color w:val="auto"/>
          <w:sz w:val="24"/>
        </w:rPr>
        <w:t>，估算1万元以上的设备由采购人另行招标采购。</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3.系统正常运行时，操作人员必需按照供应商的正确指示操作各设备。</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4.根据供应商维修人员提出的要求，采取相对必要的安全防范措施。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5.采购人协助供应商做好对合同维修范围内的安全和卫生管理工作。保证供应商负责的设备材料不受其他人员的侵扰，并为供应商供放工具和设备材料的安全场所。</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6.采购人负责为供应商提供正常维护工作所需的条件：包括供水、供电、以及照明等基本条件，同时为供应商维护人员出入提供方便。</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7.采购人负责指定各部门责任人对供应商工作人员的工作进行确认并予以核实，在得到部门责任人的肯定后给予签字认可。</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8.维保报价清单：</w:t>
      </w:r>
    </w:p>
    <w:tbl>
      <w:tblPr>
        <w:tblStyle w:val="26"/>
        <w:tblW w:w="9539" w:type="dxa"/>
        <w:tblInd w:w="-130" w:type="dxa"/>
        <w:tblLayout w:type="fixed"/>
        <w:tblCellMar>
          <w:top w:w="0" w:type="dxa"/>
          <w:left w:w="108" w:type="dxa"/>
          <w:bottom w:w="0" w:type="dxa"/>
          <w:right w:w="108" w:type="dxa"/>
        </w:tblCellMar>
      </w:tblPr>
      <w:tblGrid>
        <w:gridCol w:w="614"/>
        <w:gridCol w:w="1211"/>
        <w:gridCol w:w="1125"/>
        <w:gridCol w:w="3112"/>
        <w:gridCol w:w="738"/>
        <w:gridCol w:w="662"/>
        <w:gridCol w:w="1003"/>
        <w:gridCol w:w="1074"/>
      </w:tblGrid>
      <w:tr>
        <w:tblPrEx>
          <w:tblCellMar>
            <w:top w:w="0" w:type="dxa"/>
            <w:left w:w="108" w:type="dxa"/>
            <w:bottom w:w="0" w:type="dxa"/>
            <w:right w:w="108" w:type="dxa"/>
          </w:tblCellMar>
        </w:tblPrEx>
        <w:trPr>
          <w:trHeight w:val="617" w:hRule="atLeast"/>
        </w:trPr>
        <w:tc>
          <w:tcPr>
            <w:tcW w:w="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序号</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维保项目</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型号</w:t>
            </w: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维护保养内容</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单位</w:t>
            </w:r>
          </w:p>
        </w:tc>
        <w:tc>
          <w:tcPr>
            <w:tcW w:w="662"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数量</w:t>
            </w:r>
          </w:p>
        </w:tc>
        <w:tc>
          <w:tcPr>
            <w:tcW w:w="1003"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p>
            <w:pPr>
              <w:pStyle w:val="2"/>
              <w:spacing w:line="360" w:lineRule="auto"/>
              <w:rPr>
                <w:rFonts w:ascii="仿宋" w:hAnsi="仿宋" w:eastAsia="仿宋" w:cs="仿宋"/>
                <w:color w:val="auto"/>
                <w:sz w:val="24"/>
              </w:rPr>
            </w:pPr>
            <w:r>
              <w:rPr>
                <w:rFonts w:hint="eastAsia" w:ascii="仿宋" w:hAnsi="仿宋" w:eastAsia="仿宋" w:cs="仿宋"/>
                <w:b/>
                <w:bCs w:val="0"/>
                <w:color w:val="auto"/>
                <w:sz w:val="24"/>
              </w:rPr>
              <w:t>单价</w:t>
            </w:r>
            <w:r>
              <w:rPr>
                <w:rFonts w:hint="eastAsia" w:ascii="仿宋" w:hAnsi="仿宋" w:eastAsia="仿宋" w:cs="仿宋"/>
                <w:color w:val="auto"/>
                <w:sz w:val="24"/>
              </w:rPr>
              <w:t>（控制价）（元）</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ascii="仿宋" w:hAnsi="仿宋" w:eastAsia="仿宋" w:cs="仿宋"/>
                <w:color w:val="auto"/>
                <w:sz w:val="24"/>
              </w:rPr>
              <w:t>总价（元）</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一、一期中央空调系统维保报价表</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螺杆式冷水机组</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LSBLG670HE/Nb</w:t>
            </w: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螺杆式冷水机组主机常规维修保养。</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4600</w:t>
            </w:r>
          </w:p>
        </w:tc>
        <w:tc>
          <w:tcPr>
            <w:tcW w:w="1074"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9200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真空燃气热水锅炉</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ZRQ-60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各仪器仪表装置、燃料供应管路系统、进水系统、电器系统部分维护。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2300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4600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KQL100-200A</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1260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热水泵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KQL80-200B</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冷却水泵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KQL125-125</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全程水处理器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SYS-200B1.6JZ/D-B</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检查过滤器、电子控制器和传感器定期添加消毒机和抑制剂等。</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780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分水器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集水器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压差控制阀</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DN150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部件打黄油、压差数据调节等维护。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贯流式空气幕</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L=900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电机维护、清洗、除污、消毒、及其维护保养。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38</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2280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方形横流冷却塔</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SC-175H</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电机维护、风机皮带、清洗、除污、消毒、及其维护保养。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1900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3800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膨胀水箱</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1000X1000X1000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补水球阀维护、箱体的清洗、除污、消毒、及其维护保养。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螺杆式冷水机组自控制系统</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2720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管道清洗、除锈、防锈处理、保温层修补、水过滤器清洗。</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4100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4100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风管管道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管道抗震支架检查、保温层修补。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冷凝水系统管道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管道清洗、疏通、抗震支架调节、保温层修补。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2850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2850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热泵式热回收型溶液调湿机组</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HVF-12</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18</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末端盘管及控制系统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FPG-34</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59</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3540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FPG-51</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48</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6432</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20</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FPG-68</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88</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3960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21</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FPG-102</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980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22</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FPG-136</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3200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23</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FPG-170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89</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178</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吊顶式空调机组</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GIII-60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270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GIII-120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320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GIII-150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180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27</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风口回风网清洗消毒</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送风口</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498</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3984</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回风口及滤网</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清洗风口百叶和回风过滤网。</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370</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3700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29</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新风口</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2656</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73990</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二、二期中央空调系统维保报价表</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变频离心式冷水机组</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LSBLX600SVT</w:t>
            </w: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变频离心式冷水机组主机常规维修保养。</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7797</w:t>
            </w:r>
          </w:p>
        </w:tc>
        <w:tc>
          <w:tcPr>
            <w:tcW w:w="1074"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15594</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31</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燃气式真空热水锅炉</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ZKW1.4</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各仪器仪表装置、燃料供应管路系统、进水系统、电器系统部分维护。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5280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10560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32</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L=399T/h  H=38mH</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2580</w:t>
            </w:r>
          </w:p>
        </w:tc>
      </w:tr>
      <w:tr>
        <w:tblPrEx>
          <w:tblCellMar>
            <w:top w:w="0" w:type="dxa"/>
            <w:left w:w="108" w:type="dxa"/>
            <w:bottom w:w="0" w:type="dxa"/>
            <w:right w:w="108" w:type="dxa"/>
          </w:tblCellMar>
        </w:tblPrEx>
        <w:trPr>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热水泵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L=138T/h  H=37.5mHo</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2580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34</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冷却水泵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L=486T/h  H=34mH</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2580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35</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全程水处理器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SYS-200B1.6JZ/D-B</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检查过滤器、电子控制器和传感器定期添加消毒机和抑制剂等。</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1260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36</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分水器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210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210</w:t>
            </w:r>
          </w:p>
        </w:tc>
      </w:tr>
      <w:tr>
        <w:tblPrEx>
          <w:tblCellMar>
            <w:top w:w="0" w:type="dxa"/>
            <w:left w:w="108" w:type="dxa"/>
            <w:bottom w:w="0" w:type="dxa"/>
            <w:right w:w="108" w:type="dxa"/>
          </w:tblCellMar>
        </w:tblPrEx>
        <w:trPr>
          <w:trHeight w:val="90"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37</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集水器</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210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210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38</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贯流式空气幕</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L=900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电机维护、清洗、除污、消毒、及其维护保养。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2025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39</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喷雾推进通风冷却塔</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XNPWT-1000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电机维护、风机皮带、清洗、除污、消毒、及其维护保养。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9000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40</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膨胀水箱</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1500*1500*1000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补水球阀维护、箱体的清洗、除污、消毒、及其维护保养。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41</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变频离心式冷水机组自控制系统</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3200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管道清洗、除锈、防锈处理、保温层修补、水过滤器清洗。</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43</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风管管道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管道抗震支架检查、保温层修补。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6200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6200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44</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冷凝水系统管道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管道清洗、疏通、抗震支架调节、保温层修补。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2900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2900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211" w:type="dxa"/>
            <w:vMerge w:val="restart"/>
            <w:tcBorders>
              <w:top w:val="nil"/>
              <w:left w:val="nil"/>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洁净新风机组</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CYZ-08</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660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46</w:t>
            </w:r>
          </w:p>
        </w:tc>
        <w:tc>
          <w:tcPr>
            <w:tcW w:w="1211" w:type="dxa"/>
            <w:vMerge w:val="continue"/>
            <w:tcBorders>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CYZ-09</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680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9520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47</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卧式暗装风机盘管及控制系统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FP-34</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42</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546</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48</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FP-51</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43</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1935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49</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FP-68</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106</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4770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FP-85</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59</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46</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2714</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51</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FP-102</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169</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47</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7943</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52</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FP-136</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220</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47</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10340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53</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FP-170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49</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392</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54</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FP-204</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49</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1617</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55</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FP-238</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51</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1275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吊顶式空调机组</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DGV1-80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57</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DGV1-90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58</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DGV1-100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59</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DGV1-120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DGV1-150</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61</w:t>
            </w:r>
          </w:p>
        </w:tc>
        <w:tc>
          <w:tcPr>
            <w:tcW w:w="1211" w:type="dxa"/>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风口回风网清洗消毒</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送风口</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985</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7880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62</w:t>
            </w:r>
          </w:p>
        </w:tc>
        <w:tc>
          <w:tcPr>
            <w:tcW w:w="1211" w:type="dxa"/>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回风口及滤网</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清洗风口百叶和回风过滤网。</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687</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7557</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63</w:t>
            </w:r>
          </w:p>
        </w:tc>
        <w:tc>
          <w:tcPr>
            <w:tcW w:w="1211" w:type="dxa"/>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新风口</w:t>
            </w: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711</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5688</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133476</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三、放射科精密空调维保报价表</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64</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风冷模块机组</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模块机组主机维保（更换油过滤器、冷冻油、清洗蒸发机冷凝器翅片等）。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1250</w:t>
            </w:r>
          </w:p>
        </w:tc>
        <w:tc>
          <w:tcPr>
            <w:tcW w:w="1074"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2500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空调循环水泵</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补水箱</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67</w:t>
            </w:r>
          </w:p>
        </w:tc>
        <w:tc>
          <w:tcPr>
            <w:tcW w:w="1211"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管道清洗、除锈、防锈处理、保温层修补。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1320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68</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室外机组自控制系统</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365</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730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69</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精密空调</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维修维护线控器、电机、叶轮、翅片、加湿器等，过滤器更换等。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2650</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5300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12620</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四、信息科精密空调维保报价表</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70</w:t>
            </w:r>
          </w:p>
        </w:tc>
        <w:tc>
          <w:tcPr>
            <w:tcW w:w="1211"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精密空调</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维修维护线控器、电机、叶轮、翅片、加湿器等，过滤器更换等。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6530</w:t>
            </w:r>
          </w:p>
        </w:tc>
        <w:tc>
          <w:tcPr>
            <w:tcW w:w="1074"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6530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五、手术室净化系统维护保养报价表</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71</w:t>
            </w:r>
          </w:p>
        </w:tc>
        <w:tc>
          <w:tcPr>
            <w:tcW w:w="1211"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65KW风冷模块机组</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海尔LSQWRF65/R2Y</w:t>
            </w:r>
          </w:p>
        </w:tc>
        <w:tc>
          <w:tcPr>
            <w:tcW w:w="3112"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w:t>
            </w:r>
          </w:p>
        </w:tc>
        <w:tc>
          <w:tcPr>
            <w:tcW w:w="1003"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6000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72</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排风机</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KTW2801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488</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2928</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73</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制冷设备自控制系统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AHU-01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18</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74</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空调水泵</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15KW</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75</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补水箱</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77</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组合式空气处理机组</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78</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79</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紫外线杀菌系统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80</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电加热器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1200</w:t>
            </w:r>
          </w:p>
        </w:tc>
      </w:tr>
      <w:tr>
        <w:tblPrEx>
          <w:tblCellMar>
            <w:top w:w="0" w:type="dxa"/>
            <w:left w:w="108" w:type="dxa"/>
            <w:bottom w:w="0" w:type="dxa"/>
            <w:right w:w="108" w:type="dxa"/>
          </w:tblCellMar>
        </w:tblPrEx>
        <w:trPr>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81</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净化机组智控系统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82</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情报面板</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935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83</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层流净化通风系统管道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24683</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六、ICU净化系统维护保养报价表</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84</w:t>
            </w:r>
          </w:p>
        </w:tc>
        <w:tc>
          <w:tcPr>
            <w:tcW w:w="1211"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65KW风冷模块机组</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海尔LSQWRF65/R2Y</w:t>
            </w:r>
          </w:p>
        </w:tc>
        <w:tc>
          <w:tcPr>
            <w:tcW w:w="3112"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w:t>
            </w:r>
          </w:p>
        </w:tc>
        <w:tc>
          <w:tcPr>
            <w:tcW w:w="1003"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4000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85</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排风机</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KTW2801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488</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2440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制冷设备自控制系统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AHU-01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87</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空调水泵</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15KW</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330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88</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补水箱</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89</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90</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组合式空气处理机组</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奥揽达</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r>
      <w:tr>
        <w:tblPrEx>
          <w:tblCellMar>
            <w:top w:w="0" w:type="dxa"/>
            <w:left w:w="108" w:type="dxa"/>
            <w:bottom w:w="0" w:type="dxa"/>
            <w:right w:w="108" w:type="dxa"/>
          </w:tblCellMar>
        </w:tblPrEx>
        <w:trPr>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91</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92</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紫外线杀菌系统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93</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电加热器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94</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净化机组智控系统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95</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净化机组控制面板</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85</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层流净化通风系统管道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10958</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七、PCR实验室净化系统维护保养报价表</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97</w:t>
            </w:r>
          </w:p>
        </w:tc>
        <w:tc>
          <w:tcPr>
            <w:tcW w:w="1211"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制冷室外机组</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EK</w:t>
            </w:r>
          </w:p>
        </w:tc>
        <w:tc>
          <w:tcPr>
            <w:tcW w:w="3112"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1003"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1150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2300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98</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排风净化机</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EK</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1250</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99</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制冷设备自控制系统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AHU-01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组合式空气处理机组</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EK</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2450</w:t>
            </w:r>
          </w:p>
        </w:tc>
      </w:tr>
      <w:tr>
        <w:tblPrEx>
          <w:tblCellMar>
            <w:top w:w="0" w:type="dxa"/>
            <w:left w:w="108" w:type="dxa"/>
            <w:bottom w:w="0" w:type="dxa"/>
            <w:right w:w="108" w:type="dxa"/>
          </w:tblCellMar>
        </w:tblPrEx>
        <w:trPr>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101</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102</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紫外线杀菌系统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350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103</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电加热器</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r>
      <w:tr>
        <w:tblPrEx>
          <w:tblCellMar>
            <w:top w:w="0" w:type="dxa"/>
            <w:left w:w="108" w:type="dxa"/>
            <w:bottom w:w="0" w:type="dxa"/>
            <w:right w:w="108" w:type="dxa"/>
          </w:tblCellMar>
        </w:tblPrEx>
        <w:trPr>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104</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净化机组智控系统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560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105</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净化机组控制面板</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套</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173</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电气和弱电控制系统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维护线路及各项电气元件。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8063</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八、消毒供应室维护保养报价表</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107</w:t>
            </w:r>
          </w:p>
        </w:tc>
        <w:tc>
          <w:tcPr>
            <w:tcW w:w="1211"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65KW风冷模块机组</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海尔LSQWRF65/R2Y</w:t>
            </w:r>
          </w:p>
        </w:tc>
        <w:tc>
          <w:tcPr>
            <w:tcW w:w="3112"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w:t>
            </w:r>
          </w:p>
        </w:tc>
        <w:tc>
          <w:tcPr>
            <w:tcW w:w="1003"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5000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108</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排风机</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KTW2801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488</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2440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109</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制冷设备自控制系统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AHU-01</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110</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空调水泵</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15KW</w:t>
            </w: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265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795</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111</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补水箱</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300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112</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冷冻水系统管道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113</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消毒机</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台</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114</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电气和弱电控制系统</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维护线路及各项电气元件。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155</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115</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风机盘管</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维护电机、叶轮、翅片等。清洗和消毒</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1650</w:t>
            </w:r>
          </w:p>
        </w:tc>
      </w:tr>
      <w:tr>
        <w:tblPrEx>
          <w:tblCellMar>
            <w:top w:w="0" w:type="dxa"/>
            <w:left w:w="108" w:type="dxa"/>
            <w:bottom w:w="0" w:type="dxa"/>
            <w:right w:w="108" w:type="dxa"/>
          </w:tblCellMar>
        </w:tblPrEx>
        <w:trPr>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116</w:t>
            </w:r>
          </w:p>
        </w:tc>
        <w:tc>
          <w:tcPr>
            <w:tcW w:w="1211"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层流净化通风系统管道</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p>
        </w:tc>
        <w:tc>
          <w:tcPr>
            <w:tcW w:w="3112"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项</w:t>
            </w:r>
          </w:p>
        </w:tc>
        <w:tc>
          <w:tcPr>
            <w:tcW w:w="662"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w:t>
            </w:r>
          </w:p>
        </w:tc>
        <w:tc>
          <w:tcPr>
            <w:tcW w:w="1003"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1150</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1150</w:t>
            </w:r>
          </w:p>
        </w:tc>
      </w:tr>
      <w:tr>
        <w:tblPrEx>
          <w:tblCellMar>
            <w:top w:w="0" w:type="dxa"/>
            <w:left w:w="108" w:type="dxa"/>
            <w:bottom w:w="0" w:type="dxa"/>
            <w:right w:w="108" w:type="dxa"/>
          </w:tblCellMar>
        </w:tblPrEx>
        <w:trPr>
          <w:trHeight w:val="215" w:hRule="atLeast"/>
        </w:trPr>
        <w:tc>
          <w:tcPr>
            <w:tcW w:w="8465" w:type="dxa"/>
            <w:gridSpan w:val="7"/>
            <w:tcBorders>
              <w:top w:val="nil"/>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小计</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14680</w:t>
            </w:r>
          </w:p>
        </w:tc>
      </w:tr>
      <w:tr>
        <w:tblPrEx>
          <w:tblCellMar>
            <w:top w:w="0" w:type="dxa"/>
            <w:left w:w="108" w:type="dxa"/>
            <w:bottom w:w="0" w:type="dxa"/>
            <w:right w:w="108" w:type="dxa"/>
          </w:tblCellMar>
        </w:tblPrEx>
        <w:trPr>
          <w:trHeight w:val="215" w:hRule="atLeast"/>
        </w:trPr>
        <w:tc>
          <w:tcPr>
            <w:tcW w:w="9539" w:type="dxa"/>
            <w:gridSpan w:val="8"/>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九、费用合计</w:t>
            </w:r>
          </w:p>
        </w:tc>
      </w:tr>
      <w:tr>
        <w:tblPrEx>
          <w:tblCellMar>
            <w:top w:w="0" w:type="dxa"/>
            <w:left w:w="108" w:type="dxa"/>
            <w:bottom w:w="0" w:type="dxa"/>
            <w:right w:w="108" w:type="dxa"/>
          </w:tblCellMar>
        </w:tblPrEx>
        <w:trPr>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7851" w:type="dxa"/>
            <w:gridSpan w:val="6"/>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汇总内容</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金额(元)</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一、同心院区门诊楼中央空调系统、新风系统维保报价表</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73990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二、同心院区住院楼中央空调系统、新风系统维保报价表</w:t>
            </w:r>
          </w:p>
        </w:tc>
        <w:tc>
          <w:tcPr>
            <w:tcW w:w="1074"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133476</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三、富达路院区、同心院区放射科精密空调、新风系统维保报价表</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12620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四、富达路院区、同心院区信息科精密空调、新风系统维保报价表</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6530</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五、手术室净化系统维护保养报价表</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24683</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六、ICU净化系统维护保养报价表</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10958</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7851" w:type="dxa"/>
            <w:gridSpan w:val="6"/>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七、PCR实验室净化系统维护保养报价表</w:t>
            </w:r>
          </w:p>
        </w:tc>
        <w:tc>
          <w:tcPr>
            <w:tcW w:w="1074"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8063</w:t>
            </w:r>
          </w:p>
        </w:tc>
      </w:tr>
      <w:tr>
        <w:tblPrEx>
          <w:tblCellMar>
            <w:top w:w="0" w:type="dxa"/>
            <w:left w:w="108" w:type="dxa"/>
            <w:bottom w:w="0" w:type="dxa"/>
            <w:right w:w="108" w:type="dxa"/>
          </w:tblCellMar>
        </w:tblPrEx>
        <w:trPr>
          <w:trHeight w:val="215"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851" w:type="dxa"/>
            <w:gridSpan w:val="6"/>
            <w:tcBorders>
              <w:top w:val="nil"/>
              <w:left w:val="nil"/>
              <w:bottom w:val="single" w:color="auto" w:sz="4"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八、消毒供应室维护保养报价表</w:t>
            </w:r>
          </w:p>
        </w:tc>
        <w:tc>
          <w:tcPr>
            <w:tcW w:w="1074" w:type="dxa"/>
            <w:tcBorders>
              <w:top w:val="nil"/>
              <w:left w:val="nil"/>
              <w:bottom w:val="single" w:color="auto" w:sz="4" w:space="0"/>
              <w:right w:val="single" w:color="000000" w:sz="8"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14680</w:t>
            </w:r>
          </w:p>
        </w:tc>
      </w:tr>
      <w:tr>
        <w:tblPrEx>
          <w:tblCellMar>
            <w:top w:w="0" w:type="dxa"/>
            <w:left w:w="108" w:type="dxa"/>
            <w:bottom w:w="0" w:type="dxa"/>
            <w:right w:w="108" w:type="dxa"/>
          </w:tblCellMar>
        </w:tblPrEx>
        <w:trPr>
          <w:trHeight w:val="208"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78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费用总计</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285000</w:t>
            </w:r>
          </w:p>
        </w:tc>
      </w:tr>
      <w:tr>
        <w:tblPrEx>
          <w:tblCellMar>
            <w:top w:w="0" w:type="dxa"/>
            <w:left w:w="108" w:type="dxa"/>
            <w:bottom w:w="0" w:type="dxa"/>
            <w:right w:w="108" w:type="dxa"/>
          </w:tblCellMar>
        </w:tblPrEx>
        <w:trPr>
          <w:trHeight w:val="818" w:hRule="atLeast"/>
        </w:trPr>
        <w:tc>
          <w:tcPr>
            <w:tcW w:w="953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说明：以上清单为</w:t>
            </w:r>
            <w:r>
              <w:rPr>
                <w:rFonts w:hint="eastAsia" w:ascii="仿宋" w:hAnsi="仿宋" w:eastAsia="仿宋" w:cs="仿宋"/>
                <w:color w:val="auto"/>
                <w:sz w:val="24"/>
                <w:lang w:eastAsia="zh-CN"/>
              </w:rPr>
              <w:t>采购人</w:t>
            </w:r>
            <w:r>
              <w:rPr>
                <w:rFonts w:hint="eastAsia" w:ascii="仿宋" w:hAnsi="仿宋" w:eastAsia="仿宋" w:cs="仿宋"/>
                <w:color w:val="auto"/>
                <w:sz w:val="24"/>
              </w:rPr>
              <w:t>主要维保内容（不代表全部），本次采购包括</w:t>
            </w:r>
            <w:r>
              <w:rPr>
                <w:rFonts w:hint="eastAsia" w:ascii="仿宋" w:hAnsi="仿宋" w:eastAsia="仿宋" w:cs="仿宋"/>
                <w:color w:val="auto"/>
                <w:sz w:val="24"/>
                <w:lang w:eastAsia="zh-CN"/>
              </w:rPr>
              <w:t>采购人</w:t>
            </w:r>
            <w:r>
              <w:rPr>
                <w:rFonts w:hint="eastAsia" w:ascii="仿宋" w:hAnsi="仿宋" w:eastAsia="仿宋" w:cs="仿宋"/>
                <w:color w:val="auto"/>
                <w:sz w:val="24"/>
              </w:rPr>
              <w:t>（同心院区、富达路院区）所有的中央空调系统，新风系统、净化系统、精密空调等的维保服务。</w:t>
            </w:r>
          </w:p>
          <w:p>
            <w:pPr>
              <w:pStyle w:val="2"/>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1.以上报价包含</w:t>
            </w:r>
            <w:r>
              <w:rPr>
                <w:rFonts w:hint="eastAsia" w:ascii="仿宋" w:hAnsi="仿宋" w:eastAsia="仿宋" w:cs="仿宋"/>
                <w:color w:val="auto"/>
                <w:sz w:val="24"/>
                <w:lang w:eastAsia="zh-CN"/>
              </w:rPr>
              <w:t>单价</w:t>
            </w:r>
            <w:r>
              <w:rPr>
                <w:rFonts w:hint="eastAsia" w:ascii="仿宋" w:hAnsi="仿宋" w:eastAsia="仿宋" w:cs="仿宋"/>
                <w:color w:val="auto"/>
                <w:sz w:val="24"/>
              </w:rPr>
              <w:t>300元以内的维修配件和保养材料费、初效、中效过滤器、全年人工服务服务费、税收综合报价等与本项目相关的所有费用。</w:t>
            </w:r>
          </w:p>
          <w:p>
            <w:pPr>
              <w:pStyle w:val="2"/>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2.设备故障时其他维修配件材料费</w:t>
            </w:r>
            <w:r>
              <w:rPr>
                <w:rFonts w:hint="eastAsia" w:ascii="仿宋" w:hAnsi="仿宋" w:eastAsia="仿宋" w:cs="仿宋"/>
                <w:color w:val="auto"/>
                <w:sz w:val="24"/>
                <w:lang w:eastAsia="zh-CN"/>
              </w:rPr>
              <w:t>单价</w:t>
            </w:r>
            <w:r>
              <w:rPr>
                <w:rFonts w:hint="eastAsia" w:ascii="仿宋" w:hAnsi="仿宋" w:eastAsia="仿宋" w:cs="仿宋"/>
                <w:color w:val="auto"/>
                <w:sz w:val="24"/>
              </w:rPr>
              <w:t>300元以上的由采购人承担。</w:t>
            </w:r>
          </w:p>
          <w:p>
            <w:pPr>
              <w:pStyle w:val="2"/>
              <w:spacing w:line="360" w:lineRule="auto"/>
              <w:rPr>
                <w:rFonts w:ascii="仿宋" w:hAnsi="仿宋" w:eastAsia="仿宋" w:cs="仿宋"/>
                <w:color w:val="auto"/>
                <w:sz w:val="24"/>
              </w:rPr>
            </w:pPr>
            <w:r>
              <w:rPr>
                <w:rFonts w:hint="eastAsia" w:ascii="仿宋" w:hAnsi="仿宋" w:eastAsia="仿宋" w:cs="仿宋"/>
                <w:color w:val="auto"/>
                <w:sz w:val="24"/>
              </w:rPr>
              <w:t>3.空调使用淡季安排1名工程师常驻</w:t>
            </w:r>
            <w:r>
              <w:rPr>
                <w:rFonts w:hint="eastAsia" w:ascii="仿宋" w:hAnsi="仿宋" w:eastAsia="仿宋" w:cs="仿宋"/>
                <w:color w:val="auto"/>
                <w:sz w:val="24"/>
                <w:lang w:eastAsia="zh-CN"/>
              </w:rPr>
              <w:t>采购人院区</w:t>
            </w:r>
            <w:r>
              <w:rPr>
                <w:rFonts w:hint="eastAsia" w:ascii="仿宋" w:hAnsi="仿宋" w:eastAsia="仿宋" w:cs="仿宋"/>
                <w:color w:val="auto"/>
                <w:sz w:val="24"/>
              </w:rPr>
              <w:t>，空调使用旺季时安排2名工程师常驻</w:t>
            </w:r>
            <w:r>
              <w:rPr>
                <w:rFonts w:hint="eastAsia" w:ascii="仿宋" w:hAnsi="仿宋" w:eastAsia="仿宋" w:cs="仿宋"/>
                <w:color w:val="auto"/>
                <w:sz w:val="24"/>
                <w:lang w:eastAsia="zh-CN"/>
              </w:rPr>
              <w:t>采购人院区</w:t>
            </w:r>
            <w:r>
              <w:rPr>
                <w:rFonts w:hint="eastAsia" w:ascii="仿宋" w:hAnsi="仿宋" w:eastAsia="仿宋" w:cs="仿宋"/>
                <w:color w:val="auto"/>
                <w:sz w:val="24"/>
              </w:rPr>
              <w:t>，每日对以上设备进行巡检。工程师电话保持24小时开机在接到采购人报修后，15分钟响应快速应急处理并30分钟内到达现场。</w:t>
            </w: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9.单次</w:t>
      </w:r>
      <w:r>
        <w:rPr>
          <w:rFonts w:hint="eastAsia" w:ascii="仿宋" w:hAnsi="仿宋" w:eastAsia="仿宋" w:cs="仿宋"/>
          <w:color w:val="auto"/>
          <w:sz w:val="24"/>
          <w:lang w:eastAsia="zh-CN"/>
        </w:rPr>
        <w:t>单价</w:t>
      </w:r>
      <w:r>
        <w:rPr>
          <w:rFonts w:hint="eastAsia" w:ascii="仿宋" w:hAnsi="仿宋" w:eastAsia="仿宋" w:cs="仿宋"/>
          <w:color w:val="auto"/>
          <w:sz w:val="24"/>
        </w:rPr>
        <w:t>300元以下的（包括但不限于）的配件清单</w:t>
      </w:r>
    </w:p>
    <w:tbl>
      <w:tblPr>
        <w:tblStyle w:val="2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11"/>
        <w:gridCol w:w="236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351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配件名称</w:t>
            </w:r>
          </w:p>
        </w:tc>
        <w:tc>
          <w:tcPr>
            <w:tcW w:w="2362"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规格</w:t>
            </w:r>
          </w:p>
        </w:tc>
        <w:tc>
          <w:tcPr>
            <w:tcW w:w="2257"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液晶温控器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水流量开关</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铜阀门</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DN20</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铜阀门</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DN40</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电动阀</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盘管</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风机电容</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盘管</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金属软接</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盘管、风柜机组</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排气阀</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DN25</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风机皮带</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新风机、冷却塔</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水压表</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DN25</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温度计</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DN25</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温度传感器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交流接触器</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50A以内</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时间继电器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管道保温棉</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空开</w:t>
            </w:r>
          </w:p>
        </w:tc>
        <w:tc>
          <w:tcPr>
            <w:tcW w:w="236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100A以内</w:t>
            </w: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继电器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19</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电源指示灯</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20</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螺栓</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21</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螺帽</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22</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水泵散热叶轮</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23</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管道密封胶垫</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24</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初效过滤器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0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25</w:t>
            </w:r>
          </w:p>
        </w:tc>
        <w:tc>
          <w:tcPr>
            <w:tcW w:w="3511"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中效过滤器</w:t>
            </w:r>
          </w:p>
        </w:tc>
        <w:tc>
          <w:tcPr>
            <w:tcW w:w="2362" w:type="dxa"/>
            <w:vAlign w:val="center"/>
          </w:tcPr>
          <w:p>
            <w:pPr>
              <w:pStyle w:val="2"/>
              <w:spacing w:line="360" w:lineRule="auto"/>
              <w:rPr>
                <w:rFonts w:ascii="仿宋" w:hAnsi="仿宋" w:eastAsia="仿宋" w:cs="仿宋"/>
                <w:color w:val="auto"/>
                <w:sz w:val="24"/>
              </w:rPr>
            </w:pPr>
          </w:p>
        </w:tc>
        <w:tc>
          <w:tcPr>
            <w:tcW w:w="2257" w:type="dxa"/>
            <w:vAlign w:val="center"/>
          </w:tcPr>
          <w:p>
            <w:pPr>
              <w:pStyle w:val="2"/>
              <w:spacing w:line="360" w:lineRule="auto"/>
              <w:rPr>
                <w:rFonts w:ascii="仿宋" w:hAnsi="仿宋" w:eastAsia="仿宋" w:cs="仿宋"/>
                <w:color w:val="auto"/>
                <w:sz w:val="24"/>
              </w:rPr>
            </w:pP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10.中央空调维修保养频次（包括但不限于以下项目）：</w:t>
      </w:r>
    </w:p>
    <w:tbl>
      <w:tblPr>
        <w:tblStyle w:val="27"/>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870"/>
        <w:gridCol w:w="815"/>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序号</w:t>
            </w:r>
          </w:p>
        </w:tc>
        <w:tc>
          <w:tcPr>
            <w:tcW w:w="2870"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名称</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数量</w:t>
            </w:r>
          </w:p>
        </w:tc>
        <w:tc>
          <w:tcPr>
            <w:tcW w:w="4632"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螺杆式冷水机组</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变频离心式冷水机组</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冷水机组自控制系统</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热水锅炉</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热水锅炉自控制系统</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冷却塔清洗</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开机前清洗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水泵保养</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水系统清洗</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每年加药水清洗一次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风口</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3583</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新风机组</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蒸发翅片每年清洁 1 次、初效过滤器每季度更换一次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风机盘管滤网</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1082</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每年清洗 1 次、脱水盘添加防霉片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贯流式空气幕</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110</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每年清洁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膨胀水箱</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每年加药水清洗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主管水过滤器</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38</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每半年清洗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精密空调及风冷式模块机组</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运行季节每月保养一次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冷凝水排水管</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每年清洗疏通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6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2870"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通风管道</w:t>
            </w:r>
          </w:p>
        </w:tc>
        <w:tc>
          <w:tcPr>
            <w:tcW w:w="81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4632"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每年清洁 1 次</w:t>
            </w: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注：①以上维护保养内容不包含与设备无关的供、排水系统。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②不包含设备以外的供电系统。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③不包含总配电柜、配电箱外壳、镀锌风管等不可保养的设备。</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11.特殊区域净化设备维修保养内容：</w:t>
      </w:r>
    </w:p>
    <w:tbl>
      <w:tblPr>
        <w:tblStyle w:val="27"/>
        <w:tblW w:w="935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498"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每月定期清洗、消毒新风系统送风口及过滤网、盘管翅片消毒。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每月定期检查机组配电柜线路、交流接触器吸合情况。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每月定期检查电机皮带、电机运行电流。确保机组运行正常。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每月定期对风冷式模块机组进行检测维护。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每月定期检查净化设备运行情况，保证洁净区域温度、湿度、洁净度均符合国家规定。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供应商维护保养要按国家标准规范要求实施，按时间段每月安排工作计划进行定期维护，保存影像资料并填写月检记录表由使用科室签字后交给</w:t>
            </w:r>
            <w:r>
              <w:rPr>
                <w:rFonts w:hint="eastAsia" w:ascii="仿宋" w:hAnsi="仿宋" w:eastAsia="仿宋" w:cs="仿宋"/>
                <w:color w:val="auto"/>
                <w:sz w:val="24"/>
                <w:lang w:eastAsia="zh-CN"/>
              </w:rPr>
              <w:t>采购人</w:t>
            </w:r>
            <w:r>
              <w:rPr>
                <w:rFonts w:hint="eastAsia" w:ascii="仿宋" w:hAnsi="仿宋" w:eastAsia="仿宋" w:cs="仿宋"/>
                <w:color w:val="auto"/>
                <w:sz w:val="24"/>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8498" w:type="dxa"/>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工程师定期排查设备出现的异常并完成设备维修保养工作，供应商工程师电话保持24小时开机在接到采购人报修后，15分钟响应快速应急处理并30分钟内到达现场。</w:t>
            </w: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12.在维护保养期间，需对净化机组内的初、中效过滤器进行定期的检查维护工作，并视洁净程度的需要及时更换初、中效。</w:t>
      </w:r>
    </w:p>
    <w:tbl>
      <w:tblPr>
        <w:tblStyle w:val="27"/>
        <w:tblW w:w="9679"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11"/>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3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291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设备名称</w:t>
            </w:r>
          </w:p>
        </w:tc>
        <w:tc>
          <w:tcPr>
            <w:tcW w:w="603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911" w:type="dxa"/>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新风机组</w:t>
            </w: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初效过滤器不超过2月更换一次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color w:val="auto"/>
                <w:sz w:val="24"/>
              </w:rPr>
            </w:pPr>
          </w:p>
        </w:tc>
        <w:tc>
          <w:tcPr>
            <w:tcW w:w="2911" w:type="dxa"/>
            <w:vMerge w:val="continue"/>
            <w:vAlign w:val="center"/>
          </w:tcPr>
          <w:p>
            <w:pPr>
              <w:pStyle w:val="2"/>
              <w:spacing w:line="360" w:lineRule="auto"/>
              <w:jc w:val="center"/>
              <w:rPr>
                <w:rFonts w:ascii="仿宋" w:hAnsi="仿宋" w:eastAsia="仿宋" w:cs="仿宋"/>
                <w:color w:val="auto"/>
                <w:sz w:val="24"/>
              </w:rPr>
            </w:pP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亚高效过滤器一年更换一次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color w:val="auto"/>
                <w:sz w:val="24"/>
              </w:rPr>
            </w:pPr>
          </w:p>
        </w:tc>
        <w:tc>
          <w:tcPr>
            <w:tcW w:w="2911" w:type="dxa"/>
            <w:vMerge w:val="continue"/>
            <w:vAlign w:val="center"/>
          </w:tcPr>
          <w:p>
            <w:pPr>
              <w:pStyle w:val="2"/>
              <w:spacing w:line="360" w:lineRule="auto"/>
              <w:jc w:val="center"/>
              <w:rPr>
                <w:rFonts w:ascii="仿宋" w:hAnsi="仿宋" w:eastAsia="仿宋" w:cs="仿宋"/>
                <w:color w:val="auto"/>
                <w:sz w:val="24"/>
              </w:rPr>
            </w:pP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中效过滤器不超过3月更换一次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color w:val="auto"/>
                <w:sz w:val="24"/>
              </w:rPr>
            </w:pPr>
          </w:p>
        </w:tc>
        <w:tc>
          <w:tcPr>
            <w:tcW w:w="2911" w:type="dxa"/>
            <w:vMerge w:val="continue"/>
            <w:vAlign w:val="center"/>
          </w:tcPr>
          <w:p>
            <w:pPr>
              <w:pStyle w:val="2"/>
              <w:spacing w:line="360" w:lineRule="auto"/>
              <w:jc w:val="center"/>
              <w:rPr>
                <w:rFonts w:ascii="仿宋" w:hAnsi="仿宋" w:eastAsia="仿宋" w:cs="仿宋"/>
                <w:color w:val="auto"/>
                <w:sz w:val="24"/>
              </w:rPr>
            </w:pP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新风过滤网每月清洗一次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911" w:type="dxa"/>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循环净化机组</w:t>
            </w: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初效过滤器不超过3个月更换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color w:val="auto"/>
                <w:sz w:val="24"/>
              </w:rPr>
            </w:pPr>
          </w:p>
        </w:tc>
        <w:tc>
          <w:tcPr>
            <w:tcW w:w="2911" w:type="dxa"/>
            <w:vMerge w:val="continue"/>
            <w:vAlign w:val="center"/>
          </w:tcPr>
          <w:p>
            <w:pPr>
              <w:pStyle w:val="2"/>
              <w:spacing w:line="360" w:lineRule="auto"/>
              <w:jc w:val="center"/>
              <w:rPr>
                <w:rFonts w:ascii="仿宋" w:hAnsi="仿宋" w:eastAsia="仿宋" w:cs="仿宋"/>
                <w:color w:val="auto"/>
                <w:sz w:val="24"/>
              </w:rPr>
            </w:pP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中效过滤器不超过6个月更换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color w:val="auto"/>
                <w:sz w:val="24"/>
              </w:rPr>
            </w:pPr>
          </w:p>
        </w:tc>
        <w:tc>
          <w:tcPr>
            <w:tcW w:w="2911" w:type="dxa"/>
            <w:vMerge w:val="continue"/>
            <w:vAlign w:val="center"/>
          </w:tcPr>
          <w:p>
            <w:pPr>
              <w:pStyle w:val="2"/>
              <w:spacing w:line="360" w:lineRule="auto"/>
              <w:jc w:val="center"/>
              <w:rPr>
                <w:rFonts w:ascii="仿宋" w:hAnsi="仿宋" w:eastAsia="仿宋" w:cs="仿宋"/>
                <w:color w:val="auto"/>
                <w:sz w:val="24"/>
              </w:rPr>
            </w:pP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手术室内部回风滤网每周五清洗一次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35"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911"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手术部高效过滤器</w:t>
            </w:r>
          </w:p>
        </w:tc>
        <w:tc>
          <w:tcPr>
            <w:tcW w:w="6033" w:type="dxa"/>
            <w:vAlign w:val="center"/>
          </w:tcPr>
          <w:p>
            <w:pPr>
              <w:pStyle w:val="2"/>
              <w:spacing w:line="360" w:lineRule="auto"/>
              <w:rPr>
                <w:rFonts w:ascii="仿宋" w:hAnsi="仿宋" w:eastAsia="仿宋" w:cs="仿宋"/>
                <w:color w:val="auto"/>
                <w:sz w:val="24"/>
              </w:rPr>
            </w:pPr>
            <w:r>
              <w:rPr>
                <w:rFonts w:hint="eastAsia" w:ascii="仿宋" w:hAnsi="仿宋" w:eastAsia="仿宋" w:cs="仿宋"/>
                <w:color w:val="auto"/>
                <w:sz w:val="24"/>
              </w:rPr>
              <w:t>高效过滤器根据每季度检测结果判断是否更换，如果检测结果不合格供应商及时更换，合格情况下2年更换一次高效过滤器，PCR实验室排风高效应1年一换。超过使用年限及时更换。每月清洗新风入口过滤网，并在更换后对相应指标进行检测调整，保证各项指标符合规范要求</w:t>
            </w:r>
          </w:p>
        </w:tc>
      </w:tr>
    </w:tbl>
    <w:p>
      <w:pPr>
        <w:pStyle w:val="2"/>
        <w:spacing w:line="360" w:lineRule="auto"/>
        <w:ind w:firstLine="482" w:firstLineChars="200"/>
        <w:outlineLvl w:val="1"/>
        <w:rPr>
          <w:rFonts w:ascii="仿宋" w:hAnsi="仿宋" w:eastAsia="仿宋" w:cs="仿宋"/>
          <w:color w:val="auto"/>
          <w:sz w:val="24"/>
        </w:rPr>
      </w:pPr>
      <w:r>
        <w:rPr>
          <w:rFonts w:hint="eastAsia" w:ascii="仿宋" w:hAnsi="仿宋" w:eastAsia="仿宋" w:cs="仿宋"/>
          <w:b/>
          <w:bCs w:val="0"/>
          <w:color w:val="auto"/>
          <w:sz w:val="24"/>
        </w:rPr>
        <w:t>★四、维护保养细则</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（一）维保服务标准及保证：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严格按照国家相关规范及设备厂家维护保养手册。</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1.安全保证：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维保期内，保证所维护保养的设备设施安全运行。对操作人员有培训和监督执行操作规定的责任。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2.质量保证: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中央空调维保需保证设备设施处于安全正常状态。每季度提前向采购人提交保养预排表，内容要包含区间位置、保养时段等，以便提前安排工作。日常保养时间由采购人根据实际情况决定，保养工作时间内不能时间过长，错开使用高峰时间，尽量安排在夜间或周末进行。每月对维保范围内的设备设施进行一次维护保养，日、月、季度、年度检查要落实并有相关记录。</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特殊区域净化设备维保需保证设备设施处于安全正常状态。每季度提前向采购人提交保养预排表，内容要包含区间位置、保养时段等，以便提前安排工作。日常保养时间由供应商方根据实际情况决定，保养工作时间内不能时间过长，错开使用高峰时间，尽量安排在夜间或周末进行。每月对维保范围内的设备设施进行一次维护保养，月、季度、年度检查要落实并有相关记录。每间手术室、辅助用房建立维保档案，对原始技术资料、维保记录、修理记录、零件更换记录进行登记管理。要从设备设施长期可持续安全运行的角度出发，进行组织计划维修工作。保证洁净手术室的技术指标达到相应的要求。</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（3）技术力量保证: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派遣1-2名有熟练处理各种故障的能力维修工程师从事维修、保养及设备管理服务。如果采购人有重大活动时，应根据采购人要求加大现场的监护力度。供应商必须配备有专业工具和清洗机、风速仪、压差仪等。其间如因为安全、文明、规范操作给采购人人员及其他人员造成的一切不良后果，均由供方及当事人承担相关责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（4）维保制度保证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①明确对现场维保管理人员的岗位职责和定期业务学习与培训制度。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②巡回检查制度。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③维护和保养制度。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④检测与修理制度和运行与检修记录。</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（5）特殊区域净化设备监测、检测</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视当地环境和手术室的使用频率，每2-3年更换高效过滤器一次，并由维护单位检测，合格后出具检测报告。</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（二）服务内容明细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A、月检及换季保养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一、中央空调主机系统：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1、空调主机运行时，氟系统压力的参数测量；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2、开机时压缩机运转电流三相平衡情况及电流具体数值检测；</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3、测量压缩机运转时噪声有无金属异响，判断轴承及机头工作情况，如有异常及时调整；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4、测量压缩机工作时电压数值，是否符合国家标准；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5、通过油窗外观检查机油颜色，记录数据；</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6、检查压缩机油压、油温数据值，对应调校传感器，如有异常及时维修；</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7、观测压缩机机油过滤器行运时间及压差数值，超过标准值时，进行更换；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8、空调压缩机接线端子紧固检查，如有松动用标准力矩紧固；</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9、测量传感器、感温控头数据，参数有异常，及时维修处理；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10、检查主机接头各螺丝有无松动及泄漏，并及时紧固；</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11、主机电控接触器、触头及灭弧罩的检查及测量；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12、触摸屏外观检查，操作面板接触是否灵敏等；</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13、检查空调主机氟系统制冷剂有无泄漏；是否需要补充制冷剂；</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14、检查干燥过滤器，干燥剂吸潮后应进行干燥处理或更换；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15、检查空调冷凝器壳管内铜管换热器内壁结垢情况，如结垢严重需及时通套；</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16、检查空调蒸发器壳管内有无异物堵塞，影响水流及时通套。</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二、末端设备系统：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1、测量风机盘管及风柜出风大小数值；</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2、检查风机盘管及风柜回风过滤网是否通畅无异物，及时清理；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3、测量出风温度，根据现场工况及环境温度判断出风温度是否正常；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4、检查风机盘管及风柜电机轴承，有无松动及卡滞异响；</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5、检查风机盘管及风柜翅片积尘情况，风量不够，及时清理；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6、检查盘管及风柜各机组电动阀运转有无异常；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7、盘管风叶外观检查，如有变形、破损及时进行动平衡校正；</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8、检查盘管接线盒有无松动、发热、虚接情况并紧固各接插件；</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9、检查温度控制器操作面板按键是否失灵；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10、检查并清洁控制柜内外的灰尘及脏物；</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11、检查盘管吊架及丝杆紧固、锈蚀情况，如有异常及时维修处理。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三、循环水系统：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1、检查水系统中有无空气，是否需要排气，避免气蚀发生，减少磨损；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2、检查回水、出水温度，根据现场情况判断数据公差是否正常；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3、观测保温系统有无开裂、破损、老化等现象；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4、检查水流量保护开关动作灵活可靠，避免卡滞误动作；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5、拆装清水洗循环水系统中过滤器及过滤网。</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四、送、回风系统：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1、检查风系统管道有无破损，产生漏风；</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2、检查风系统保温有无破损，漏水现象；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3、进回风软接是否牢固，风道内是否有异物，影响风速及流量；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4、检测风管阀门是否开启灵活可靠。</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五、电控系统：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1、测试调整空调主机相序保护器；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2、测量空调主机空气开关、交流接触器、热保护器是否良好；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3、检测控制柜内各电器元件工作是否正常或接触是否良好；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4、检查末端电控系统工作是否正常； </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5、检查温控器工作是否正常。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六、冷却塔系统：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1、冷却塔集水盘内是否有污物，及时清理；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2、检查冷却塔风机风叶是否变形，有无外观破，轴承有无缺油情况；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3、检查冷却塔减速器电机轴承工作是否正常；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4、检查冷却塔风机皮带张度及磨损情况，及时调整或更换；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5、冷却塔分水盘内疏通孔道，保证水流分布均匀，流速合适；</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6、检查布水片外观结垢及分布情况，保证水流分布均匀，散热良好；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7、冷却塔主体牢固、锈蚀、密封检查；</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8、检查冷却塔及膨胀水箱水位并调节浮球阀开度；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9、检查冷却塔水盘是否有漏水现象；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10、检查冷却塔是否滋生藻类。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七、新风系统：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1、检查新风系统管道有无破损；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2、检查新风柜电机电流是否正常；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3、检查新风柜电机电压是否正常；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4、检查新风柜电机轴承是否工作异常；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5、检查新风柜电机皮带张力是否正常；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6、检查新风柜电机叶轮动平衡；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7、检查新风风速及风压是否正常；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8、检查新风风柜风门开启动是否灵敏；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9、检查新风过滤网是否脏堵，清洗过滤网。</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八、冷凝排水系统：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检查盘管及排水管水平度，如有排水不畅,及时调整；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2、检查冷凝水盘是否溢流及冷凝水管排水是否畅通,清洁水盘及畅通冷凝水管;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3、检查盘管及风柜接水盘是否锈蚀漏水，如有及时疏通或更换。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九、泵阀系统：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1、检查水泵密封圈密封性能好坏，根据磨损情况及时更换；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2、检查水泵轴承间隙大小，同轴度及润滑脂好坏；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3、检查水泵电机叶轮动平衡，有无外观变形异物等，影响运转；</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4、检查水泵电机电流、电压值是否正常；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5、检查水泵电机绝缘性能，摇表测量具体参数，判断数据是否正常；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6、检查水泵运行噪声和振动，是否正常；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7、检测水泵接触器、线圈、触点、接头等；</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8、检查管道阀门开启灵敏度及泄漏，密封性能；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9、检测水泵密封圈有无变形；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10、检查法兰连结处是否渗漏；</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11、检查阀门是否有破裂或开闭失效。</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十、燃气热水锅炉系统：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1、燃料供应管路系统：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1）、点火煤气管路气密性检查；</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2）、检查管路是否通畅。</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2、各仪器仪表装置：</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1）、水位表冲洗；</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2）、压力表弯管冲洗。</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3、燃烧器系统：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1）、火焰检测器（电眼）清扫受光面；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2）、检查燃烧火焰是否正常；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3）、检查燃烧时，燃烧器声音是否有异常。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4、进水系统：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1）、清洗水过滤器；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2）、检查止回阀工作是否正常；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3）、补水箱排水及清扫杂物。</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5、电器系统部分：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1）、检查线路是否有松动、老化、失灵；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2）、检查电器元件是否可靠、过载；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3）、检查电器保护装置是否正常。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B、年度大型维护保养内容：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1、根据主机压缩机运行时间及冷冻油油质分析，及时对冷冻油及过滤器进行更换；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2、主机房内冷冻及冷却水管道、阀门防锈及润滑处理；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3、管道循环水泵电机轴承润滑处理；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4、冷冻及冷却水循环管道专业清洗；</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5、冷却塔电机轴承润滑处理；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6、冷却塔电机皮带张松调整及更换；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7、冷却塔集水盆水质处理；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8、冷却塔室外管道阀门润滑处理；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9、室内未端盘管及风柜过滤网清洗消毒；</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10、燃气锅炉保养：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10.1.燃烧器部分：全面清理点火装置、过滤器、电机及叶轮系统，对风门连杆机构加润滑剂。对燃烧情况重新给予检测。</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10.2.控制部分：检修及检测电器元件、检査控制线路，清理控制箱集灰，每个控制点进行检测。</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10.3.主机部分：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10.3.1全面清理烟管、水管、前后烟箱、炉膛部分及燃尽空及烟管集灰；</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10.3.2及时更换有缺陷的密封垫；</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10.3.3全面检测仪表、阀门，包括压力表、压力控制器及电极水位控制器。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（二）特殊区域净化设备维保具体工作内容：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手术室具体维保的工作内容包括：模块机组系统、洁净空调系统、排风系统、气密自动门门控系统、医气系统、净化空调机组、模块机风机、PLC可编程智能控制系统。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（三）净化组合式空调机组维保内容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1.净化组合式空调机组的年度保养内容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1.2.检查风机电机轴承运行情况，添加润滑油，必查时进行更换。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1.3.检查风机电机绝缘情况；检查风机电源及各接线端。</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1.4.检查并调整风机皮带，必要时进行更换。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1.5.检查、调整风机的运转使不产生不正常的震动及噪音。</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1.6.检查柜体表面，做好防腐处理；检查吊架情况，使风柜安装良好。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1.7.用专业清洁剂清洗风柜内表面、散热翅片；清理风机叶轮、凝水盘。</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1.8.检查机组换热情况，检查阀门管道的堵塞情况，必要时进行换热管道的疏通清洗工作。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1.9.检查电极加湿器的工作状态、加湿量与信号模量的比例关系是否正常。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1.10.检查加湿器桶内的结垢情况和电极的腐蚀状态，必要时需要进行更换。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1.11.检查比例积分阀的运行情况。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1.12.检查机组保温情况，避免冷凝漏水。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1.13.检查机组内的初中、效过滤器、亚高效过滤器的工作情况，如过滤器的阻力偏高或有破损的情况，应立即进行更换。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1.14.建立设备维保档案，填写设备维修保养记录卡；呈交以上所有项目的年度维护工作报告书。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2.净化组合式空调机组的月度保养内容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2.1.检查风机电机轴承运行情况，添加润滑油，必查时进行更换。检查风机电机绝缘情况；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2.2.检查电机电源及各接线端是否松动、电机各相电流。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2.3.检查并调整风机皮带松紧程度，必要时进行更换。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2.4.检查、调整风机的运转使之不产生不正常的震动及噪音。</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2.5.检查柜体表面，做好防腐处理；检查机架情况，使风柜安装良好。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2.6.用专业清洁剂清洗风柜内表面、散热翅片；清理风机叶轮、凝水盘。</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2.7.检查机组换热情况，检查阀门管道的堵塞情况，必要时进行换热管道的疏通清洗工作。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2.8.检查电极加湿器的工作状态、加湿量与信号模量的比例关系是否正常，桶内的水位情况，排水是否通畅，相间电流是否平衡并及时维护。</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2.9.检查加湿器桶内的结垢情况和电极的腐蚀状态，必要时需要进行更换。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2.10.检查比例积分阀的运行情况。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2.11.检查机组保温情况并及时修复，避免冷凝漏水。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2.12.检查机组内的初中、效过滤器、亚高效过滤器的工作情况，如过滤器的阻力偏高或有破损的情况，应立即进行更换。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2.13.检查机组内杀菌装置是否正常，如有损坏应立即更换。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2.14.每半年清洁一次热交换器的翅片，肋片有压倒的要用弛梳梳好。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2.15.建立设备维保档案，填写设备维修保养记录卡；呈交以上所有项目的月度维护工作报告书。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3.模块机风机的维保内容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3.1.风机的年度保养工作内容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3.2.检查风机电机轴承运行情况，添加润滑油，必要时进行更换。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3.3.检查风机电机绝缘情况；检查风机电源及各接线端。</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3.4.检查风机的运转电流是否正常。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3.5.检查风机表面，做好防腐处理；检查吊架情况，使风柜安装良好。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3.6.清理风机叶轮。</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3.7.检查、调整风机的运转使不产生不正常的震动及噪音。</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3.8.建立设备维保档案，填写设备维修保养记录卡；呈交以上所有项目的年度维护工作报告书。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3.9.风机的月度保养内容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3.10.检查风机电机轴承运行情况。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3.11.检查风机电机绝缘情况。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3.12.检查、调整风机的运转使不产生不正常的震动及噪音。</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3.13.建立设备维保档案，填写设备维修保养记录卡；呈交以上所有项目的月度维护工作报告书。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4.净化空调风循环系统维保内容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4.1.定期检查风管道与设备间的软连接是否紧密和有无破损的情况，如有松动应及时紧固，必要时应进行更换。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4.2.定期清洗新风机组、循环机组的初中效过滤器、回风口、排风口并进行记录</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4.3.定期进行中效压差检查，及时更换风阻超过要求及破损的过滤器。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4.4.定期对防火阀、电动密闭阀、风量阀、定风量阀及手动阀的检查、维护。对动作不灵的要修理或更换各组件,各种风阀检查密封性、灵活性、稳固性和开启的准确性,及时进行润滑和堵漏保养。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4.5.每半年检测一次系统中电加热器阻值，更换老化的电热片，并根据检测数据进行保养维修或更换；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4.6.检查风管绝热层，如有超温、老化、破损须及时修补或更换；并积极做好保温材料的维护。</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4.7.检查送排静压箱及送风装置，静压箱应密封严密，保温良好，口面风速均匀合理。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4.8.系统的支吊构件检查、修复、除锈刷漆支吊构件必须牢固，及时修复和紧固。锈蚀的要除锈刷漆处理。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4.9.定期检查高效过滤器的密封口处是否漏风和过滤器的是否破损，并根据高效过滤器的阻力判断是否需要更换。一般建议1-2年更换一次。每次更换过滤器时，应对静压箱的内表面进行清洁。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4.10.检查净化空调风管道的清洁程度，必要时应对其表面进行机器人除尘清扫。</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5.六联板空调控制系统维保内容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5.1.检查空调控制系统、时钟、计时钟、温、湿度显示器、情报面板系统的正常工作。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检查监控器显示值与设定值的符合性，包括各区的正压值、梯度监控记录；远控面板控制开关灵活，接触器无打火现象，接线端子牢固，电路板无尘。每天查看历史记录，及时分析报警记录、处置与报告，尽早发现运行中的各种异常或事故，做出趋势分析和降低潜在的风险。</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5.3.检查背景音乐系统、呼叫系统工作时无噪音,是否满足使用要求。</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定期对配电柜箱体及柜内所有电气部件保洁，对交流接触器、热继电器、自动空气开关、中间继电器等所有电子元件，进行风枪除尘。及时更换老化、受损电子元件和其他配件。定期检查散热风扇状态，确保配电柜通风正常，风扇运行风量满足电器散热要求。</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5.5.定期检查及修复弱电系统管线，保证线管完整、牢固、线路整洁，杜绝鼠类进入线管或桥架。定期检测电路绝缘性，紧固接线头，应保持接触牢固并做好线路的保养工作。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5.6.定期清洁设备层，确保室内无积水，钢结构无锈，新风口保持清洁、牢固，做到机房内干燥、通风、清洁、无灰尘、异物。</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6.可编程PLC控制系统维保内容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6.1.断开控制柜总电源，检查各转换开关，启动、停止按钮动作应灵活可靠。检查柜内空气开关、接触器、继电器等电器是否完好，紧固各电器接触线头和接线端子的接线螺丝。</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6.2.检测器件(温度计、压力表、传感器、执行器)维修保养：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6.3.对于读数模糊不清的温度计、压力表应拆换；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6.4.送检温度计、压力表合格后方可再使用；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6.5.检测温度、湿度、压力传感器参数是否正常，并做模拟实验，对于不合格的传感器应拆换；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6.6.检查装检测器的部位是否渗漏，如渗漏则应更换密封胶垫。</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6.7.检查各执行器的工作状态，有控制信号而不动作时，需进行更换。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6.8.控制部分维修保养：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6.9.清洁控制柜内外的灰尘、脏物；</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6.10.检查、紧固所有接线头，对于烧蚀严重的接线头应更换；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6.11.交流接触器维修保养：清除灭弧罩内的碳化物和金属颗粒；</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6.12.清除触头表面及四周的污物(但不要修锉触头)，如触头烧蚀严重则应更换同规格交流接触器；清洁铁芯上的灰尘及脏物；拧紧所有紧固螺栓。</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6.13.热继电器维修保养：检查热继电器的导线接头处有无过热或烧伤痕迹，如有则应整修处理，处理后达不到要求的应更换；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6.14.检查热继电器上的绝缘盖板是否完整，如损坏则应更换。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6.15.自动空气开关维修保养：用500V摇表测量绝缘电阻应不低于0.5MΩ，否则应烘干处理；清除灭弧罩内的碳化物或金属颗粒，如灭弧罩损坏则应更换；清除触头表面上的小金属颗粒(不要修锉)。</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6.16信号灯、指示仪表维修保养：检查各信号灯是否正常，如不亮则应更换同规格的小灯泡；检查各指示仪表指示是否正确，如偏差较大则应作适当调整，调整后偏差仍较大应更换。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6.17.中间继电器、信号继电器维修保养：对中间继电器、信号继电器做模拟实验，检查二者的动作是否可靠，输出的信号是否正常，否则应更换同型号的中间继电器、信号继电器；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7.冷热源设备（热泵模块机组）维保内容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7.1.泵模块机组年度维保：</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检查机组制冷剂的充注量，检查接口是否存在泄漏，对有泄漏的机组应该查出漏点进行有效处理，必要时转移制冷剂，对蒸发器进行加氮加压检漏，处理漏点后抽湿抽真处理并保负压。对制冷不足的机组进行充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7.3.检查冷冻油量、油色、必要时更换冷冻机油并清理油腔。检查机组运行时的油压，检查油过滤器，必要时进行更换。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7.4.检查机组干燥过滤器，必要时进行更换。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7.5.检测机组压缩机电机、电磁阀线圈、冷凝器风机电机的绝缘情况，检查各电磁阀的工作情况。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7.6.检查清理控制柜，检查各接触器]、继电器、检查各接线端。</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7.7.检测机组控制保护装置的运行情况；根据运行情况对控制系统进行调整。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7.8.检查冷凝器风机电机轴承，进行加油润滑。</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7.9.检查冷冻水泵运行情况，并加油润滑。</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7.10.检查冷凝器翅片的积尘情况，必要时进行清洗或更换翅片。</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7.11.建立设备维保档案，填写设备维修保养记录表；呈交以上所有项目的年度维保工作报告书。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7.12.热泵机组每月定期保养内容：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7.13.检查冷冻油的润滑情况是否正常。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7.14.制冷剂循环系统检查：检查机组吸气压力、制冷剂蒸发温度是否正常；检查机组排气压力、排气温度和制冷剂冷凝温度是否正常。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7.15.水系统检查：检查冷冻水进出水压力、压差及温度、温差是否在正常范围。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7.16.检查冷冻水泵运行情况。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7.17.检查机组各保护控制装置并对各保护参数进行校对、调整。</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7.18.检查压缩机电机、室内外风机电机的运行情况，并检测其线圈绝缘情况。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7.19.检查机组各电磁阀、膨胀阀的运行情况。</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7.20.检查并清理电路的各接触器、继电器及微电脑控制系统。</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7.21.检查冷凝风机运转情况，检查及清理翅片积尘。</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7.22.检查校正各控制设定值。</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7.23.检查机组压缩机电机的工作电压、电流及工作温度是否正常。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7.24.对机组及控制元件进行外观检查。</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7.25.建立设备维保档案，填写设备维修保养记录卡；呈交以上所有项目的月度维保工作报告书。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8.空调水泵月度保养内容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8.1.空调水泵月度保养工作内容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8.2.检测轴承及泵叶的磨损程度；检查轴承温度及是否存在异响，必要时进行更换；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8.3.按要求加注润滑油脂，使设备润滑良好。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8.4.检查联轴器急轮胶的震动及磨损情况，必要时进行更换；校正对轴性使水泵电机达到运转平衡。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8.5.检查水泵运行时是否有漏水现象，必要时调整密封或更换。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8.6.检测电机的绝缘电阻；检查水泵启动柜的各个开关、接触器、接线端、触点、电压表、电流表的工作情况，进行去尘、清理、加固等必要保养工作。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8.7.检查各阀门、止回阀、水锤汲纳器、软接、Y型过滤器等附件的运行性能，并进行保养调整；检测、校对各温度表、压力表。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8.8.检查水泵的运转电压与运转电流是否正常；检查水泵运转时的进出水压力是否正常。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8.9.检查水泵外观、对机体、支座支架除锈并作防锈处理。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8.10.建立设备维保档案，填写设备维修保养记录卡；呈交以上所有项目的年度维保工作报告书。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8.11.空调水泵月保养内容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8.12.检查轴承温度及是否存在异响，必要时进行更换；按要求加注润滑油脂，使设备润滑良好。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8.13.检查联轴器急轮胶的震动及磨损情况，必要时进更换；校正对轴性使水泵电机达到运转平衡。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8.14.检查各阀门、止回阀、水锤吸纳器、软接、Y型过滤器等附件的运行性能，并进行保养调整；检测、校对各温度表、压力表。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8.15.检查水泵运行时是否有漏水现象，必要时调整密封或更换。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8.16.建立设备维保档案，填写设备维修保养记录卡；呈交以上所有项目的季度维保工作报告书。</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9.空调冷热水系统维保内容</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9.1.检查冷却水是否清洁，若不清洁应全部更换和管道加药除水垢；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9.2.检查膨胀水箱补水浮球阀是否正常；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9.3.检查系统阀门有无渗漏，并进行修复，必要时需更换。</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9.4.水系统中的水过滤器要三个月拆开清洁一次。</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9.5.半年检查一次水管保温层或保护层，脱落或破损的要补好，开胶的要重新粘好。</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9.6.检查系统中压差调节阀是否正常。</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9.7.膨胀水箱内要一年清洁一次，并对箱体及钢结构基座进行一次除锈刷漆；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9.8.一年检查一次水管系统的支撑构件，损坏的要修复，松动的要紧固，锈腐的要除锈刷漆。</w:t>
      </w:r>
    </w:p>
    <w:p>
      <w:pPr>
        <w:pStyle w:val="2"/>
        <w:spacing w:line="360" w:lineRule="auto"/>
        <w:ind w:firstLine="482" w:firstLineChars="200"/>
        <w:outlineLvl w:val="1"/>
        <w:rPr>
          <w:rFonts w:ascii="仿宋" w:hAnsi="仿宋" w:eastAsia="仿宋" w:cs="仿宋"/>
          <w:color w:val="auto"/>
          <w:sz w:val="24"/>
        </w:rPr>
      </w:pPr>
      <w:r>
        <w:rPr>
          <w:rFonts w:hint="eastAsia" w:ascii="仿宋" w:hAnsi="仿宋" w:eastAsia="仿宋" w:cs="仿宋"/>
          <w:b/>
          <w:bCs w:val="0"/>
          <w:color w:val="auto"/>
          <w:sz w:val="24"/>
        </w:rPr>
        <w:t>★五、维保配置与应急处理</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1、人员配备</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1.1.项目负责人：1名，主要负责该项目服务的管理，服务人员的安排，以及该项目的应急措施的工作。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1.2.维护人员：1-2名，常驻医院主要负责该项目维保服务，设备性能的技术分析鉴定，设备维保报告，以及该项目设备的应急措施的维修工作。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1.3.为保证本项目能得到有效的技术支持，供应商拟配备本项目服务人员具有国家政府相关职能管理部门颁发的制冷设备维修工证或制冷设备安装修理作业证。提供证书影印件人员为</w:t>
      </w:r>
      <w:r>
        <w:rPr>
          <w:rFonts w:hint="eastAsia" w:ascii="仿宋" w:hAnsi="仿宋" w:eastAsia="仿宋" w:cs="仿宋"/>
          <w:color w:val="auto"/>
          <w:sz w:val="24"/>
          <w:lang w:eastAsia="zh-CN"/>
        </w:rPr>
        <w:t>成交后</w:t>
      </w:r>
      <w:r>
        <w:rPr>
          <w:rFonts w:hint="eastAsia" w:ascii="仿宋" w:hAnsi="仿宋" w:eastAsia="仿宋" w:cs="仿宋"/>
          <w:color w:val="auto"/>
          <w:sz w:val="24"/>
        </w:rPr>
        <w:t>驻扎医院</w:t>
      </w:r>
      <w:r>
        <w:rPr>
          <w:rFonts w:hint="eastAsia" w:ascii="仿宋" w:hAnsi="仿宋" w:eastAsia="仿宋" w:cs="仿宋"/>
          <w:color w:val="auto"/>
          <w:sz w:val="24"/>
          <w:lang w:eastAsia="zh-CN"/>
        </w:rPr>
        <w:t>的</w:t>
      </w:r>
      <w:r>
        <w:rPr>
          <w:rFonts w:hint="eastAsia" w:ascii="仿宋" w:hAnsi="仿宋" w:eastAsia="仿宋" w:cs="仿宋"/>
          <w:color w:val="auto"/>
          <w:sz w:val="24"/>
        </w:rPr>
        <w:t>工作人员</w:t>
      </w:r>
      <w:r>
        <w:rPr>
          <w:rFonts w:hint="eastAsia" w:ascii="仿宋" w:hAnsi="仿宋" w:eastAsia="仿宋" w:cs="仿宋"/>
          <w:color w:val="auto"/>
          <w:sz w:val="24"/>
          <w:lang w:val="en-US" w:eastAsia="zh-CN"/>
        </w:rPr>
        <w:t>。</w:t>
      </w:r>
      <w:r>
        <w:rPr>
          <w:rFonts w:hint="eastAsia" w:ascii="仿宋" w:hAnsi="仿宋" w:eastAsia="仿宋" w:cs="仿宋"/>
          <w:color w:val="auto"/>
          <w:sz w:val="24"/>
        </w:rPr>
        <w:t>（提供相应证书影印件予以佐证）</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2、建立维保档案</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2.1.确定设备日常维保内容，建立设备日常维保档案。对每次设备日常维保内容进行详细记录，并提交给用户。</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2.2.对日常维护的设备的性能应进行技术分析，以便确定该设备或配件是否需要进行维修、更换，同时将技术分析报告。</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3、常用配件的库存和工具的备用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3.1.为了确保该项目的服务及时性和设备的正常运行，在对该项目的设备进行调查了解后，对那些易损配件应进行同等型号、规格零配件库存。</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3.2.确保该项目的服务工具、检查仪器在任何时间均能正常使用，同时作好工具的备用工作。</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4、建立突发事故的应急处理机制</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收到现场维保人员的信息后，项目负责人应根据信息描述，立即召集相关工程技术人员成立应急小组，对产生的事故原因进行分析，并拿出解决事故的初步方案；同时派遣技术人员在2小时内赶到现场，根据初步方案对故事设备进行控制或维修，并把现场的实际情况反应回应急小组。应急小组在最短的时间内拿出最终解决事故方案、解决事故的时间；并及时提交用户。维修完成后，及时提交维修报告与用户。</w:t>
      </w:r>
    </w:p>
    <w:p>
      <w:pPr>
        <w:pStyle w:val="2"/>
        <w:spacing w:line="360" w:lineRule="auto"/>
        <w:ind w:firstLine="480" w:firstLineChars="200"/>
        <w:outlineLvl w:val="1"/>
        <w:rPr>
          <w:rFonts w:ascii="仿宋" w:hAnsi="仿宋" w:eastAsia="仿宋" w:cs="仿宋"/>
          <w:color w:val="auto"/>
          <w:sz w:val="24"/>
        </w:rPr>
      </w:pPr>
      <w:r>
        <w:rPr>
          <w:rFonts w:hint="eastAsia" w:ascii="仿宋" w:hAnsi="仿宋" w:eastAsia="仿宋" w:cs="仿宋"/>
          <w:color w:val="auto"/>
          <w:sz w:val="24"/>
        </w:rPr>
        <w:t>★六、运行管理巡查规范</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1、每月对临时的维护、修理任务做好充分的准备工作，并对临时的修理任务做好记录。</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2、对每月维护、保养的设备有重大的质量隐患要以书面的形式立即报告</w:t>
      </w:r>
      <w:r>
        <w:rPr>
          <w:rFonts w:hint="eastAsia" w:ascii="仿宋" w:hAnsi="仿宋" w:eastAsia="仿宋" w:cs="仿宋"/>
          <w:color w:val="auto"/>
          <w:sz w:val="24"/>
          <w:lang w:eastAsia="zh-CN"/>
        </w:rPr>
        <w:t>采购人</w:t>
      </w:r>
      <w:r>
        <w:rPr>
          <w:rFonts w:hint="eastAsia" w:ascii="仿宋" w:hAnsi="仿宋" w:eastAsia="仿宋" w:cs="仿宋"/>
          <w:color w:val="auto"/>
          <w:sz w:val="24"/>
        </w:rPr>
        <w:t>的使用科室或后勤保障部，同时上报公司的售后服务部。</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3、更换材料记录表及售后服务回访记录表等资料，由使用科室或后勤保障部确认，交使用科室,后勤保障部各一份。</w:t>
      </w:r>
    </w:p>
    <w:p>
      <w:pPr>
        <w:pStyle w:val="2"/>
        <w:spacing w:line="360" w:lineRule="auto"/>
        <w:ind w:firstLine="480" w:firstLineChars="200"/>
        <w:outlineLvl w:val="1"/>
        <w:rPr>
          <w:rFonts w:ascii="仿宋" w:hAnsi="仿宋" w:eastAsia="仿宋" w:cs="仿宋"/>
          <w:color w:val="auto"/>
          <w:sz w:val="24"/>
        </w:rPr>
      </w:pPr>
      <w:r>
        <w:rPr>
          <w:rFonts w:hint="eastAsia" w:ascii="仿宋" w:hAnsi="仿宋" w:eastAsia="仿宋" w:cs="仿宋"/>
          <w:color w:val="auto"/>
          <w:sz w:val="24"/>
        </w:rPr>
        <w:t>★七、考核办法</w:t>
      </w:r>
    </w:p>
    <w:p>
      <w:pPr>
        <w:pStyle w:val="2"/>
        <w:spacing w:line="360" w:lineRule="auto"/>
        <w:ind w:firstLine="482" w:firstLineChars="200"/>
        <w:rPr>
          <w:rFonts w:ascii="仿宋" w:hAnsi="仿宋" w:eastAsia="仿宋" w:cs="仿宋"/>
          <w:color w:val="auto"/>
          <w:sz w:val="24"/>
        </w:rPr>
      </w:pPr>
      <w:r>
        <w:rPr>
          <w:rFonts w:ascii="仿宋" w:hAnsi="仿宋" w:eastAsia="仿宋" w:cs="仿宋"/>
          <w:b/>
          <w:bCs w:val="0"/>
          <w:color w:val="auto"/>
          <w:sz w:val="24"/>
        </w:rPr>
        <w:t>1、项目考核办法及考核标准执行</w:t>
      </w:r>
    </w:p>
    <w:p>
      <w:pPr>
        <w:pStyle w:val="2"/>
        <w:spacing w:line="360" w:lineRule="auto"/>
        <w:ind w:firstLine="482" w:firstLineChars="200"/>
        <w:rPr>
          <w:rFonts w:ascii="仿宋" w:hAnsi="仿宋" w:eastAsia="仿宋" w:cs="仿宋"/>
          <w:color w:val="auto"/>
          <w:sz w:val="24"/>
        </w:rPr>
      </w:pPr>
      <w:r>
        <w:rPr>
          <w:rFonts w:hint="eastAsia" w:ascii="仿宋" w:hAnsi="仿宋" w:eastAsia="仿宋" w:cs="仿宋"/>
          <w:b/>
          <w:bCs w:val="0"/>
          <w:color w:val="auto"/>
          <w:sz w:val="24"/>
        </w:rPr>
        <w:t>①考核方案由采购人随机抽取本合同维保服务范围内</w:t>
      </w:r>
      <w:r>
        <w:rPr>
          <w:rFonts w:ascii="仿宋" w:hAnsi="仿宋" w:eastAsia="仿宋" w:cs="仿宋"/>
          <w:b/>
          <w:bCs w:val="0"/>
          <w:color w:val="auto"/>
          <w:sz w:val="24"/>
        </w:rPr>
        <w:t>50%及以上的临床科室，对供应商的服务质量进行月考核（空调系统</w:t>
      </w:r>
      <w:r>
        <w:rPr>
          <w:rFonts w:hint="eastAsia" w:ascii="仿宋" w:hAnsi="仿宋" w:eastAsia="仿宋" w:cs="仿宋"/>
          <w:b/>
          <w:bCs w:val="0"/>
          <w:color w:val="auto"/>
          <w:sz w:val="24"/>
          <w:lang w:eastAsia="zh-CN"/>
        </w:rPr>
        <w:t>维保</w:t>
      </w:r>
      <w:r>
        <w:rPr>
          <w:rFonts w:ascii="仿宋" w:hAnsi="仿宋" w:eastAsia="仿宋" w:cs="仿宋"/>
          <w:b/>
          <w:bCs w:val="0"/>
          <w:color w:val="auto"/>
          <w:sz w:val="24"/>
        </w:rPr>
        <w:t>服务质量月考核表附后）</w:t>
      </w:r>
    </w:p>
    <w:p>
      <w:pPr>
        <w:pStyle w:val="2"/>
        <w:spacing w:line="360" w:lineRule="auto"/>
        <w:ind w:firstLine="482" w:firstLineChars="200"/>
        <w:rPr>
          <w:rFonts w:ascii="仿宋" w:hAnsi="仿宋" w:eastAsia="仿宋" w:cs="仿宋"/>
          <w:color w:val="auto"/>
          <w:sz w:val="24"/>
        </w:rPr>
      </w:pPr>
      <w:r>
        <w:rPr>
          <w:rFonts w:hint="eastAsia" w:ascii="仿宋" w:hAnsi="仿宋" w:eastAsia="仿宋" w:cs="仿宋"/>
          <w:b/>
          <w:bCs w:val="0"/>
          <w:color w:val="auto"/>
          <w:sz w:val="24"/>
        </w:rPr>
        <w:t>②综合评定为优秀或良好且无安全事故，按月支付维保费。</w:t>
      </w:r>
    </w:p>
    <w:p>
      <w:pPr>
        <w:pStyle w:val="2"/>
        <w:spacing w:line="360" w:lineRule="auto"/>
        <w:ind w:firstLine="482" w:firstLineChars="200"/>
        <w:rPr>
          <w:rFonts w:ascii="仿宋" w:hAnsi="仿宋" w:eastAsia="仿宋" w:cs="仿宋"/>
          <w:color w:val="auto"/>
          <w:sz w:val="24"/>
        </w:rPr>
      </w:pPr>
      <w:r>
        <w:rPr>
          <w:rFonts w:hint="eastAsia" w:ascii="仿宋" w:hAnsi="仿宋" w:eastAsia="仿宋" w:cs="仿宋"/>
          <w:b/>
          <w:bCs w:val="0"/>
          <w:color w:val="auto"/>
          <w:sz w:val="24"/>
        </w:rPr>
        <w:t>③综合评定为一般且无重大安全事故的，经</w:t>
      </w:r>
      <w:r>
        <w:rPr>
          <w:rFonts w:hint="eastAsia" w:ascii="仿宋" w:hAnsi="仿宋" w:eastAsia="仿宋" w:cs="仿宋"/>
          <w:b/>
          <w:bCs w:val="0"/>
          <w:color w:val="auto"/>
          <w:sz w:val="24"/>
          <w:lang w:eastAsia="zh-CN"/>
        </w:rPr>
        <w:t>采购人</w:t>
      </w:r>
      <w:r>
        <w:rPr>
          <w:rFonts w:hint="eastAsia" w:ascii="仿宋" w:hAnsi="仿宋" w:eastAsia="仿宋" w:cs="仿宋"/>
          <w:b/>
          <w:bCs w:val="0"/>
          <w:color w:val="auto"/>
          <w:sz w:val="24"/>
        </w:rPr>
        <w:t>相关会议决定，并结合谈判文件要求、维保单位改进措施可行，按月支付维保费。</w:t>
      </w:r>
    </w:p>
    <w:p>
      <w:pPr>
        <w:pStyle w:val="2"/>
        <w:spacing w:line="360" w:lineRule="auto"/>
        <w:ind w:firstLine="482" w:firstLineChars="200"/>
        <w:rPr>
          <w:rFonts w:ascii="仿宋" w:hAnsi="仿宋" w:eastAsia="仿宋" w:cs="仿宋"/>
          <w:color w:val="auto"/>
          <w:sz w:val="24"/>
        </w:rPr>
      </w:pPr>
      <w:r>
        <w:rPr>
          <w:rFonts w:hint="eastAsia" w:ascii="仿宋" w:hAnsi="仿宋" w:eastAsia="仿宋" w:cs="仿宋"/>
          <w:b/>
          <w:bCs w:val="0"/>
          <w:color w:val="auto"/>
          <w:sz w:val="24"/>
        </w:rPr>
        <w:t>④综合评定为较差（</w:t>
      </w:r>
      <w:r>
        <w:rPr>
          <w:rFonts w:ascii="仿宋" w:hAnsi="仿宋" w:eastAsia="仿宋" w:cs="仿宋"/>
          <w:b/>
          <w:bCs w:val="0"/>
          <w:color w:val="auto"/>
          <w:sz w:val="24"/>
        </w:rPr>
        <w:t>5次以上）或发生安全事故的，采购人有权解除合同，由供应商承担解除合同的一切责任。</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⑤空调系统维保考核表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61"/>
        <w:gridCol w:w="835"/>
        <w:gridCol w:w="1253"/>
        <w:gridCol w:w="594"/>
        <w:gridCol w:w="167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59" w:type="dxa"/>
            <w:gridSpan w:val="7"/>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空调系统维保服务质量月考核表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是否按要求维保</w:t>
            </w:r>
          </w:p>
        </w:tc>
        <w:tc>
          <w:tcPr>
            <w:tcW w:w="2088"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w:t>
            </w:r>
          </w:p>
        </w:tc>
        <w:tc>
          <w:tcPr>
            <w:tcW w:w="2266" w:type="dxa"/>
            <w:gridSpan w:val="2"/>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是否及时处理保修事项</w:t>
            </w:r>
          </w:p>
        </w:tc>
        <w:tc>
          <w:tcPr>
            <w:tcW w:w="167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continue"/>
            <w:vAlign w:val="center"/>
          </w:tcPr>
          <w:p>
            <w:pPr>
              <w:pStyle w:val="2"/>
              <w:spacing w:line="360" w:lineRule="auto"/>
              <w:jc w:val="center"/>
              <w:rPr>
                <w:rFonts w:ascii="仿宋" w:hAnsi="仿宋" w:eastAsia="仿宋" w:cs="仿宋"/>
                <w:color w:val="auto"/>
                <w:sz w:val="24"/>
              </w:rPr>
            </w:pPr>
          </w:p>
        </w:tc>
        <w:tc>
          <w:tcPr>
            <w:tcW w:w="2088"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否□</w:t>
            </w:r>
          </w:p>
        </w:tc>
        <w:tc>
          <w:tcPr>
            <w:tcW w:w="2266" w:type="dxa"/>
            <w:gridSpan w:val="2"/>
            <w:vMerge w:val="continue"/>
            <w:vAlign w:val="center"/>
          </w:tcPr>
          <w:p>
            <w:pPr>
              <w:pStyle w:val="2"/>
              <w:spacing w:line="360" w:lineRule="auto"/>
              <w:jc w:val="center"/>
              <w:rPr>
                <w:rFonts w:ascii="仿宋" w:hAnsi="仿宋" w:eastAsia="仿宋" w:cs="仿宋"/>
                <w:color w:val="auto"/>
                <w:sz w:val="24"/>
              </w:rPr>
            </w:pPr>
          </w:p>
        </w:tc>
        <w:tc>
          <w:tcPr>
            <w:tcW w:w="167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32" w:type="dxa"/>
            <w:gridSpan w:val="2"/>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设备运行是否良好</w:t>
            </w:r>
          </w:p>
        </w:tc>
        <w:tc>
          <w:tcPr>
            <w:tcW w:w="2088"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w:t>
            </w:r>
          </w:p>
        </w:tc>
        <w:tc>
          <w:tcPr>
            <w:tcW w:w="2266" w:type="dxa"/>
            <w:gridSpan w:val="2"/>
            <w:vMerge w:val="restart"/>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维保人员服务态度是否满意</w:t>
            </w:r>
          </w:p>
        </w:tc>
        <w:tc>
          <w:tcPr>
            <w:tcW w:w="167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332" w:type="dxa"/>
            <w:gridSpan w:val="2"/>
            <w:vMerge w:val="continue"/>
            <w:vAlign w:val="center"/>
          </w:tcPr>
          <w:p>
            <w:pPr>
              <w:pStyle w:val="2"/>
              <w:spacing w:line="360" w:lineRule="auto"/>
              <w:jc w:val="center"/>
              <w:rPr>
                <w:rFonts w:ascii="仿宋" w:hAnsi="仿宋" w:eastAsia="仿宋" w:cs="仿宋"/>
                <w:color w:val="auto"/>
                <w:sz w:val="24"/>
              </w:rPr>
            </w:pPr>
          </w:p>
        </w:tc>
        <w:tc>
          <w:tcPr>
            <w:tcW w:w="2088"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否□</w:t>
            </w:r>
          </w:p>
        </w:tc>
        <w:tc>
          <w:tcPr>
            <w:tcW w:w="2266" w:type="dxa"/>
            <w:gridSpan w:val="2"/>
            <w:vMerge w:val="continue"/>
            <w:vAlign w:val="center"/>
          </w:tcPr>
          <w:p>
            <w:pPr>
              <w:pStyle w:val="2"/>
              <w:spacing w:line="360" w:lineRule="auto"/>
              <w:jc w:val="center"/>
              <w:rPr>
                <w:rFonts w:ascii="仿宋" w:hAnsi="仿宋" w:eastAsia="仿宋" w:cs="仿宋"/>
                <w:color w:val="auto"/>
                <w:sz w:val="24"/>
              </w:rPr>
            </w:pPr>
          </w:p>
        </w:tc>
        <w:tc>
          <w:tcPr>
            <w:tcW w:w="167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评估时段</w:t>
            </w:r>
          </w:p>
        </w:tc>
        <w:tc>
          <w:tcPr>
            <w:tcW w:w="6027" w:type="dxa"/>
            <w:gridSpan w:val="5"/>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71" w:type="dxa"/>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评定等级</w:t>
            </w:r>
          </w:p>
        </w:tc>
        <w:tc>
          <w:tcPr>
            <w:tcW w:w="1496"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优秀□</w:t>
            </w:r>
          </w:p>
        </w:tc>
        <w:tc>
          <w:tcPr>
            <w:tcW w:w="1847" w:type="dxa"/>
            <w:gridSpan w:val="2"/>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良好□</w:t>
            </w:r>
          </w:p>
        </w:tc>
        <w:tc>
          <w:tcPr>
            <w:tcW w:w="1672"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一般□</w:t>
            </w:r>
          </w:p>
        </w:tc>
        <w:tc>
          <w:tcPr>
            <w:tcW w:w="1673" w:type="dxa"/>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1" w:type="dxa"/>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综合评估结果及意见</w:t>
            </w:r>
          </w:p>
        </w:tc>
        <w:tc>
          <w:tcPr>
            <w:tcW w:w="6688" w:type="dxa"/>
            <w:gridSpan w:val="6"/>
            <w:vAlign w:val="bottom"/>
          </w:tcPr>
          <w:p>
            <w:pPr>
              <w:pStyle w:val="2"/>
              <w:spacing w:line="360" w:lineRule="auto"/>
              <w:rPr>
                <w:rFonts w:ascii="仿宋" w:hAnsi="仿宋" w:eastAsia="仿宋" w:cs="仿宋"/>
                <w:color w:val="auto"/>
                <w:sz w:val="24"/>
              </w:rPr>
            </w:pPr>
            <w:r>
              <w:rPr>
                <w:rFonts w:hint="eastAsia" w:ascii="仿宋" w:hAnsi="仿宋" w:eastAsia="仿宋" w:cs="仿宋"/>
                <w:color w:val="auto"/>
                <w:sz w:val="24"/>
              </w:rPr>
              <w:t>考评部门签名：</w:t>
            </w:r>
          </w:p>
          <w:p>
            <w:pPr>
              <w:pStyle w:val="2"/>
              <w:spacing w:line="360" w:lineRule="auto"/>
              <w:jc w:val="right"/>
              <w:rPr>
                <w:rFonts w:ascii="仿宋" w:hAnsi="仿宋" w:eastAsia="仿宋" w:cs="仿宋"/>
                <w:color w:val="auto"/>
                <w:sz w:val="24"/>
              </w:rPr>
            </w:pP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tc>
      </w:tr>
    </w:tbl>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2、维保单项考核办法：（在维保服务费中扣除）</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严格按照维护保养工作内容进行设备各系统维保，未及时做检查和维保工作的，扣减维保费1000元/次，成交单价超过1000元的项目未按规定维保，按该项目成交单价进行扣减维保费，并在一周内按标准进行补充维保，检查和维保工作未达到标准的，扣减维保费500元/次（标准以采购人签字认可为准）。 </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在采购人的系统运行出现故障时，供应商接到报修通知后，必须在0.5小时内赶到现场进行检查维修（重大事项0.15小时内赶到现场进行检查维修），若未按上述约定时间修复引起科室及患者投诉的，扣减维保费500元/次。累计5次未按时到现场，采购人有权解除合同。</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3）每次保养或故障维修工作结束，都要做好记录，双方签字确认，存档备查。未做到的每缺少一项扣减维保费500元（以此类推）。 </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4）供应商在保养和维修的过程中，必须确保安全，负责搞好安全防范和防护，设置安全围栏和警示标志（发现未做到者扣减维保费500元/次），因供应商过错造成净化设备本身及</w:t>
      </w:r>
      <w:r>
        <w:rPr>
          <w:rFonts w:hint="eastAsia" w:ascii="仿宋" w:hAnsi="仿宋" w:eastAsia="仿宋" w:cs="仿宋"/>
          <w:color w:val="auto"/>
          <w:sz w:val="24"/>
          <w:lang w:eastAsia="zh-CN"/>
        </w:rPr>
        <w:t>采购人</w:t>
      </w:r>
      <w:r>
        <w:rPr>
          <w:rFonts w:hint="eastAsia" w:ascii="仿宋" w:hAnsi="仿宋" w:eastAsia="仿宋" w:cs="仿宋"/>
          <w:color w:val="auto"/>
          <w:sz w:val="24"/>
        </w:rPr>
        <w:t>其它设施设备、房屋等损坏和一切人员伤害的，由供应商负责。</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5）在服务期间供应商未完成保养和维修内容，采购人根据供应商的报价清单中对应的细项报价金额在维保服务费中扣除。</w:t>
      </w:r>
    </w:p>
    <w:p>
      <w:pPr>
        <w:pStyle w:val="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3、供应商按规范要求对手术室的净化指标进行检测，并向采购人报告检测结果，检测标准依据为：《医院洁净手术部建设技术规范GB 50333－2013》。采购人若对供应商的检测有疑问，可请有资质的检测部门进行复测，并事先通知供应商参加，若复测合格由采购人承担费用，若复测不合格，则由供应商支付复测费用，并承担因此造成的相应损失。供应商每季度对手术室的风速风压等净化指标进行检测。并把以上项目的检测报告交由采购人管理部门保存。</w:t>
      </w:r>
    </w:p>
    <w:p>
      <w:pPr>
        <w:spacing w:line="360" w:lineRule="auto"/>
        <w:ind w:firstLine="482" w:firstLineChars="200"/>
        <w:outlineLvl w:val="1"/>
        <w:rPr>
          <w:rFonts w:ascii="仿宋" w:hAnsi="仿宋" w:eastAsia="仿宋" w:cs="仿宋"/>
          <w:b/>
          <w:bCs/>
          <w:color w:val="auto"/>
          <w:sz w:val="24"/>
        </w:rPr>
      </w:pPr>
    </w:p>
    <w:p>
      <w:pPr>
        <w:spacing w:line="360" w:lineRule="auto"/>
        <w:ind w:firstLine="482" w:firstLineChars="200"/>
        <w:outlineLvl w:val="1"/>
        <w:rPr>
          <w:rFonts w:ascii="仿宋" w:hAnsi="仿宋" w:eastAsia="仿宋" w:cs="仿宋"/>
          <w:b/>
          <w:bCs/>
          <w:color w:val="auto"/>
          <w:sz w:val="24"/>
        </w:rPr>
      </w:pPr>
      <w:r>
        <w:rPr>
          <w:rFonts w:hint="eastAsia" w:ascii="仿宋" w:hAnsi="仿宋" w:eastAsia="仿宋" w:cs="仿宋"/>
          <w:b/>
          <w:bCs/>
          <w:color w:val="auto"/>
          <w:sz w:val="24"/>
        </w:rPr>
        <w:t>★八、</w:t>
      </w:r>
      <w:bookmarkEnd w:id="37"/>
      <w:bookmarkStart w:id="38" w:name="_Toc11404"/>
      <w:bookmarkStart w:id="39" w:name="_Toc16029"/>
      <w:bookmarkStart w:id="40" w:name="_Toc16534"/>
      <w:r>
        <w:rPr>
          <w:rFonts w:hint="eastAsia" w:ascii="仿宋" w:hAnsi="仿宋" w:eastAsia="仿宋" w:cs="仿宋"/>
          <w:b/>
          <w:bCs/>
          <w:color w:val="auto"/>
          <w:sz w:val="24"/>
        </w:rPr>
        <w:t>商务要求</w:t>
      </w:r>
    </w:p>
    <w:p>
      <w:pPr>
        <w:autoSpaceDE w:val="0"/>
        <w:autoSpaceDN w:val="0"/>
        <w:adjustRightInd w:val="0"/>
        <w:snapToGrid w:val="0"/>
        <w:spacing w:line="360" w:lineRule="auto"/>
        <w:ind w:firstLine="504" w:firstLineChars="200"/>
        <w:jc w:val="left"/>
        <w:rPr>
          <w:rFonts w:ascii="仿宋" w:hAnsi="仿宋" w:eastAsia="仿宋" w:cs="仿宋"/>
          <w:color w:val="auto"/>
          <w:spacing w:val="6"/>
          <w:kern w:val="0"/>
          <w:sz w:val="24"/>
          <w:szCs w:val="22"/>
          <w:lang w:val="zh-CN"/>
        </w:rPr>
      </w:pPr>
      <w:bookmarkStart w:id="41" w:name="_Toc7836"/>
      <w:r>
        <w:rPr>
          <w:rFonts w:hint="eastAsia" w:ascii="仿宋" w:hAnsi="仿宋" w:eastAsia="仿宋" w:cs="仿宋"/>
          <w:color w:val="auto"/>
          <w:spacing w:val="6"/>
          <w:kern w:val="0"/>
          <w:sz w:val="24"/>
          <w:szCs w:val="22"/>
          <w:lang w:val="zh-CN"/>
        </w:rPr>
        <w:t>1、签订合同：自成交通知书发出之日起</w:t>
      </w:r>
      <w:r>
        <w:rPr>
          <w:rFonts w:hint="eastAsia" w:ascii="仿宋" w:hAnsi="仿宋" w:eastAsia="仿宋" w:cs="仿宋"/>
          <w:color w:val="auto"/>
          <w:spacing w:val="6"/>
          <w:kern w:val="0"/>
          <w:sz w:val="24"/>
          <w:szCs w:val="22"/>
        </w:rPr>
        <w:t>30</w:t>
      </w:r>
      <w:r>
        <w:rPr>
          <w:rFonts w:hint="eastAsia" w:ascii="仿宋" w:hAnsi="仿宋" w:eastAsia="仿宋" w:cs="仿宋"/>
          <w:color w:val="auto"/>
          <w:spacing w:val="6"/>
          <w:kern w:val="0"/>
          <w:sz w:val="24"/>
          <w:szCs w:val="22"/>
          <w:lang w:val="zh-CN"/>
        </w:rPr>
        <w:t>日内。</w:t>
      </w:r>
    </w:p>
    <w:p>
      <w:pPr>
        <w:autoSpaceDE w:val="0"/>
        <w:autoSpaceDN w:val="0"/>
        <w:adjustRightInd w:val="0"/>
        <w:snapToGrid w:val="0"/>
        <w:spacing w:line="360" w:lineRule="auto"/>
        <w:ind w:firstLine="504" w:firstLineChars="200"/>
        <w:jc w:val="left"/>
        <w:rPr>
          <w:rFonts w:ascii="仿宋" w:hAnsi="仿宋" w:eastAsia="仿宋" w:cs="仿宋"/>
          <w:color w:val="auto"/>
          <w:sz w:val="24"/>
        </w:rPr>
      </w:pPr>
      <w:r>
        <w:rPr>
          <w:rFonts w:hint="eastAsia" w:ascii="仿宋" w:hAnsi="仿宋" w:eastAsia="仿宋" w:cs="仿宋"/>
          <w:color w:val="auto"/>
          <w:spacing w:val="6"/>
          <w:kern w:val="0"/>
          <w:sz w:val="24"/>
          <w:szCs w:val="22"/>
          <w:lang w:val="zh-CN"/>
        </w:rPr>
        <w:t>2、服务期限：</w:t>
      </w:r>
      <w:r>
        <w:rPr>
          <w:rFonts w:hint="eastAsia" w:ascii="仿宋" w:hAnsi="仿宋" w:eastAsia="仿宋" w:cs="仿宋"/>
          <w:color w:val="auto"/>
          <w:sz w:val="24"/>
        </w:rPr>
        <w:t>自合同签订之日起1年。</w:t>
      </w:r>
    </w:p>
    <w:p>
      <w:pPr>
        <w:autoSpaceDE w:val="0"/>
        <w:autoSpaceDN w:val="0"/>
        <w:adjustRightInd w:val="0"/>
        <w:snapToGrid w:val="0"/>
        <w:spacing w:line="360" w:lineRule="auto"/>
        <w:ind w:firstLine="504" w:firstLineChars="200"/>
        <w:jc w:val="left"/>
        <w:rPr>
          <w:rFonts w:ascii="仿宋" w:hAnsi="仿宋" w:eastAsia="仿宋" w:cs="仿宋"/>
          <w:color w:val="auto"/>
          <w:spacing w:val="6"/>
          <w:kern w:val="0"/>
          <w:sz w:val="24"/>
          <w:szCs w:val="22"/>
          <w:lang w:val="zh-CN"/>
        </w:rPr>
      </w:pPr>
      <w:r>
        <w:rPr>
          <w:rFonts w:hint="eastAsia" w:ascii="仿宋" w:hAnsi="仿宋" w:eastAsia="仿宋" w:cs="仿宋"/>
          <w:color w:val="auto"/>
          <w:spacing w:val="6"/>
          <w:kern w:val="0"/>
          <w:sz w:val="24"/>
          <w:szCs w:val="22"/>
          <w:lang w:val="zh-CN"/>
        </w:rPr>
        <w:t>3、服务地点：采购人指定地点。</w:t>
      </w:r>
    </w:p>
    <w:p>
      <w:pPr>
        <w:autoSpaceDE w:val="0"/>
        <w:autoSpaceDN w:val="0"/>
        <w:adjustRightInd w:val="0"/>
        <w:snapToGrid w:val="0"/>
        <w:spacing w:line="360" w:lineRule="auto"/>
        <w:ind w:firstLine="504" w:firstLineChars="200"/>
        <w:jc w:val="left"/>
        <w:rPr>
          <w:rFonts w:ascii="仿宋" w:hAnsi="仿宋" w:eastAsia="仿宋" w:cs="仿宋"/>
          <w:color w:val="auto"/>
          <w:spacing w:val="6"/>
          <w:kern w:val="0"/>
          <w:sz w:val="24"/>
          <w:szCs w:val="22"/>
          <w:lang w:val="zh-CN"/>
        </w:rPr>
      </w:pPr>
      <w:r>
        <w:rPr>
          <w:rFonts w:hint="eastAsia" w:ascii="仿宋" w:hAnsi="仿宋" w:eastAsia="仿宋" w:cs="仿宋"/>
          <w:color w:val="auto"/>
          <w:spacing w:val="6"/>
          <w:kern w:val="0"/>
          <w:sz w:val="24"/>
          <w:szCs w:val="22"/>
        </w:rPr>
        <w:t>4、</w:t>
      </w:r>
      <w:r>
        <w:rPr>
          <w:rFonts w:hint="eastAsia" w:ascii="仿宋" w:hAnsi="仿宋" w:eastAsia="仿宋" w:cs="仿宋"/>
          <w:color w:val="auto"/>
          <w:spacing w:val="6"/>
          <w:kern w:val="0"/>
          <w:sz w:val="24"/>
          <w:szCs w:val="22"/>
          <w:lang w:val="zh-CN"/>
        </w:rPr>
        <w:t>付款方式：根据考核结果，按月支付服务费。每月付款金额=（年合同总金额/12个月）-（考核扣减违约金额</w:t>
      </w:r>
      <w:r>
        <w:rPr>
          <w:rFonts w:hint="eastAsia" w:ascii="仿宋" w:hAnsi="仿宋" w:eastAsia="仿宋" w:cs="仿宋"/>
          <w:color w:val="auto"/>
          <w:spacing w:val="6"/>
          <w:kern w:val="0"/>
          <w:sz w:val="24"/>
          <w:szCs w:val="22"/>
        </w:rPr>
        <w:t>+扣减维保费</w:t>
      </w:r>
      <w:r>
        <w:rPr>
          <w:rFonts w:hint="eastAsia" w:ascii="仿宋" w:hAnsi="仿宋" w:eastAsia="仿宋" w:cs="仿宋"/>
          <w:color w:val="auto"/>
          <w:spacing w:val="6"/>
          <w:kern w:val="0"/>
          <w:sz w:val="24"/>
          <w:szCs w:val="22"/>
          <w:lang w:val="zh-CN"/>
        </w:rPr>
        <w:t>）。付款前，供应商须向采购人出具合法有效完整的发票及凭证资料后进行支付结算，付款方式均采用公对公的银行转账，</w:t>
      </w:r>
      <w:r>
        <w:rPr>
          <w:rFonts w:hint="eastAsia" w:ascii="仿宋" w:hAnsi="仿宋" w:eastAsia="仿宋" w:cs="仿宋"/>
          <w:color w:val="auto"/>
          <w:spacing w:val="6"/>
          <w:kern w:val="0"/>
          <w:sz w:val="24"/>
          <w:szCs w:val="22"/>
          <w:lang w:val="en-US" w:eastAsia="zh-CN"/>
        </w:rPr>
        <w:t>采购人</w:t>
      </w:r>
      <w:r>
        <w:rPr>
          <w:rFonts w:hint="eastAsia" w:ascii="仿宋" w:hAnsi="仿宋" w:eastAsia="仿宋" w:cs="仿宋"/>
          <w:color w:val="auto"/>
          <w:spacing w:val="6"/>
          <w:kern w:val="0"/>
          <w:sz w:val="24"/>
          <w:szCs w:val="22"/>
          <w:lang w:val="zh-CN"/>
        </w:rPr>
        <w:t>接受转账的开户信息以合同载明的为准。如因供应商未及时按照要求提供合法有效的发票导致逾期付款的，不视为采购人违约，采购人不承担任何责任。</w:t>
      </w:r>
    </w:p>
    <w:p>
      <w:pPr>
        <w:autoSpaceDE w:val="0"/>
        <w:autoSpaceDN w:val="0"/>
        <w:adjustRightInd w:val="0"/>
        <w:snapToGrid w:val="0"/>
        <w:spacing w:line="360" w:lineRule="auto"/>
        <w:ind w:firstLine="504" w:firstLineChars="200"/>
        <w:jc w:val="left"/>
        <w:rPr>
          <w:rFonts w:ascii="仿宋" w:hAnsi="仿宋" w:eastAsia="仿宋" w:cs="仿宋"/>
          <w:color w:val="auto"/>
          <w:spacing w:val="6"/>
          <w:kern w:val="0"/>
          <w:sz w:val="24"/>
          <w:szCs w:val="22"/>
          <w:lang w:val="zh-CN"/>
        </w:rPr>
      </w:pPr>
      <w:r>
        <w:rPr>
          <w:rFonts w:hint="eastAsia" w:ascii="仿宋" w:hAnsi="仿宋" w:eastAsia="仿宋" w:cs="仿宋"/>
          <w:color w:val="auto"/>
          <w:spacing w:val="6"/>
          <w:kern w:val="0"/>
          <w:sz w:val="24"/>
          <w:szCs w:val="22"/>
        </w:rPr>
        <w:t>5</w:t>
      </w:r>
      <w:r>
        <w:rPr>
          <w:rFonts w:hint="eastAsia" w:ascii="仿宋" w:hAnsi="仿宋" w:eastAsia="仿宋" w:cs="仿宋"/>
          <w:color w:val="auto"/>
          <w:spacing w:val="6"/>
          <w:kern w:val="0"/>
          <w:sz w:val="24"/>
          <w:szCs w:val="22"/>
          <w:lang w:val="zh-CN"/>
        </w:rPr>
        <w:t>、报价要求：本次报价应包括人工、设备、管理费、税费、安装、调试等完成本项目所需一切费用。分项报价和总价报价按照同比例下浮报价，保留小数点后两位。</w:t>
      </w:r>
    </w:p>
    <w:p>
      <w:pPr>
        <w:autoSpaceDE w:val="0"/>
        <w:autoSpaceDN w:val="0"/>
        <w:adjustRightInd w:val="0"/>
        <w:snapToGrid w:val="0"/>
        <w:spacing w:line="360" w:lineRule="auto"/>
        <w:ind w:firstLine="504" w:firstLineChars="200"/>
        <w:jc w:val="left"/>
        <w:rPr>
          <w:rFonts w:ascii="仿宋" w:hAnsi="仿宋" w:eastAsia="仿宋" w:cs="仿宋"/>
          <w:color w:val="auto"/>
          <w:spacing w:val="6"/>
          <w:kern w:val="0"/>
          <w:sz w:val="24"/>
          <w:szCs w:val="22"/>
          <w:lang w:val="zh-CN"/>
        </w:rPr>
      </w:pPr>
      <w:r>
        <w:rPr>
          <w:rFonts w:hint="eastAsia" w:ascii="仿宋" w:hAnsi="仿宋" w:eastAsia="仿宋" w:cs="仿宋"/>
          <w:color w:val="auto"/>
          <w:spacing w:val="6"/>
          <w:kern w:val="0"/>
          <w:sz w:val="24"/>
          <w:szCs w:val="22"/>
        </w:rPr>
        <w:t>6、</w:t>
      </w:r>
      <w:r>
        <w:rPr>
          <w:rFonts w:hint="eastAsia" w:ascii="仿宋" w:hAnsi="仿宋" w:eastAsia="仿宋" w:cs="仿宋"/>
          <w:color w:val="auto"/>
          <w:spacing w:val="6"/>
          <w:kern w:val="0"/>
          <w:sz w:val="24"/>
          <w:szCs w:val="22"/>
          <w:lang w:val="zh-CN"/>
        </w:rPr>
        <w:t>验收办法：采购人参照《财政部关于进一步加强政府采购需求和履约验收管理的指导意见》（财库〔2016〕205号）的规定进行验收。</w:t>
      </w:r>
    </w:p>
    <w:p>
      <w:pPr>
        <w:autoSpaceDE w:val="0"/>
        <w:autoSpaceDN w:val="0"/>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7、其他事宜：其他未尽事宜由采购人与成交供应商在采购合同中详细约定。</w:t>
      </w:r>
    </w:p>
    <w:p>
      <w:pPr>
        <w:widowControl/>
        <w:tabs>
          <w:tab w:val="left" w:pos="426"/>
          <w:tab w:val="left" w:pos="851"/>
        </w:tabs>
        <w:spacing w:line="400" w:lineRule="exact"/>
        <w:ind w:firstLine="482" w:firstLineChars="200"/>
        <w:jc w:val="left"/>
        <w:rPr>
          <w:rFonts w:ascii="仿宋" w:hAnsi="仿宋" w:eastAsia="仿宋" w:cs="仿宋"/>
          <w:b/>
          <w:bCs/>
          <w:color w:val="auto"/>
          <w:sz w:val="24"/>
        </w:rPr>
      </w:pPr>
    </w:p>
    <w:bookmarkEnd w:id="38"/>
    <w:bookmarkEnd w:id="39"/>
    <w:bookmarkEnd w:id="40"/>
    <w:bookmarkEnd w:id="41"/>
    <w:p>
      <w:pPr>
        <w:spacing w:line="360" w:lineRule="auto"/>
        <w:ind w:firstLine="474" w:firstLineChars="200"/>
        <w:jc w:val="left"/>
        <w:rPr>
          <w:rFonts w:ascii="仿宋" w:hAnsi="仿宋" w:eastAsia="仿宋" w:cs="仿宋"/>
          <w:b/>
          <w:bCs/>
          <w:color w:val="auto"/>
          <w:spacing w:val="-2"/>
          <w:sz w:val="24"/>
        </w:rPr>
        <w:sectPr>
          <w:pgSz w:w="11850" w:h="16783"/>
          <w:pgMar w:top="1440" w:right="1531" w:bottom="1440" w:left="1644" w:header="851" w:footer="992" w:gutter="0"/>
          <w:cols w:space="720" w:num="1"/>
          <w:docGrid w:linePitch="312" w:charSpace="0"/>
        </w:sectPr>
      </w:pPr>
      <w:bookmarkStart w:id="42" w:name="_Toc4978"/>
      <w:bookmarkStart w:id="43" w:name="_Toc25073"/>
      <w:bookmarkStart w:id="44" w:name="_Toc6413"/>
      <w:bookmarkStart w:id="45" w:name="_Toc21698"/>
      <w:r>
        <w:rPr>
          <w:rFonts w:hint="eastAsia" w:ascii="仿宋" w:hAnsi="仿宋" w:eastAsia="仿宋" w:cs="仿宋"/>
          <w:b/>
          <w:bCs/>
          <w:color w:val="auto"/>
          <w:spacing w:val="-2"/>
          <w:sz w:val="24"/>
        </w:rPr>
        <w:t>说明：</w:t>
      </w:r>
      <w:r>
        <w:rPr>
          <w:rFonts w:hint="eastAsia" w:ascii="仿宋" w:hAnsi="仿宋" w:eastAsia="仿宋" w:cs="仿宋"/>
          <w:b/>
          <w:color w:val="auto"/>
          <w:spacing w:val="-2"/>
          <w:sz w:val="24"/>
        </w:rPr>
        <w:t>本章中以“★”标示的内容为本次采购项目的实质性要求，</w:t>
      </w:r>
      <w:r>
        <w:rPr>
          <w:rFonts w:hint="eastAsia" w:ascii="仿宋" w:hAnsi="仿宋" w:eastAsia="仿宋" w:cs="仿宋"/>
          <w:b/>
          <w:bCs/>
          <w:color w:val="auto"/>
          <w:spacing w:val="-2"/>
          <w:sz w:val="24"/>
        </w:rPr>
        <w:t>供应商如不满足将作无效响应处理。</w:t>
      </w:r>
    </w:p>
    <w:p>
      <w:pPr>
        <w:pStyle w:val="5"/>
        <w:spacing w:beforeLines="50" w:afterLines="100" w:line="360" w:lineRule="auto"/>
        <w:jc w:val="left"/>
        <w:rPr>
          <w:rFonts w:ascii="仿宋" w:hAnsi="仿宋" w:eastAsia="仿宋" w:cs="仿宋"/>
          <w:bCs/>
          <w:color w:val="auto"/>
          <w:sz w:val="36"/>
          <w:szCs w:val="36"/>
        </w:rPr>
      </w:pPr>
      <w:bookmarkStart w:id="46" w:name="_Toc24419"/>
      <w:bookmarkStart w:id="47" w:name="_Toc3903"/>
      <w:r>
        <w:rPr>
          <w:rFonts w:hint="eastAsia" w:ascii="仿宋" w:hAnsi="仿宋" w:eastAsia="仿宋" w:cs="仿宋"/>
          <w:bCs/>
          <w:color w:val="auto"/>
          <w:sz w:val="36"/>
          <w:szCs w:val="36"/>
        </w:rPr>
        <w:t>第六章 谈判内容、谈判过程中可能实质性变动的内容</w:t>
      </w:r>
      <w:bookmarkEnd w:id="42"/>
      <w:bookmarkEnd w:id="43"/>
      <w:bookmarkEnd w:id="44"/>
      <w:bookmarkEnd w:id="45"/>
      <w:bookmarkEnd w:id="46"/>
      <w:bookmarkEnd w:id="47"/>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针对第五章、第九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pPr>
        <w:widowControl/>
        <w:spacing w:line="360" w:lineRule="auto"/>
        <w:jc w:val="left"/>
        <w:rPr>
          <w:rFonts w:ascii="仿宋" w:hAnsi="仿宋" w:eastAsia="仿宋" w:cs="仿宋"/>
          <w:color w:val="auto"/>
          <w:sz w:val="24"/>
        </w:rPr>
      </w:pPr>
    </w:p>
    <w:p>
      <w:pPr>
        <w:pStyle w:val="25"/>
        <w:spacing w:before="100" w:beforeAutospacing="1" w:after="50" w:line="360" w:lineRule="auto"/>
        <w:jc w:val="center"/>
        <w:rPr>
          <w:rFonts w:ascii="仿宋" w:hAnsi="仿宋" w:eastAsia="仿宋" w:cs="仿宋"/>
          <w:b/>
          <w:bCs/>
          <w:color w:val="auto"/>
          <w:kern w:val="2"/>
          <w:sz w:val="32"/>
          <w:szCs w:val="32"/>
        </w:rPr>
        <w:sectPr>
          <w:pgSz w:w="11850" w:h="16783"/>
          <w:pgMar w:top="1440" w:right="1531" w:bottom="1440" w:left="1644" w:header="851" w:footer="992" w:gutter="0"/>
          <w:cols w:space="720" w:num="1"/>
          <w:docGrid w:linePitch="312" w:charSpace="0"/>
        </w:sectPr>
      </w:pPr>
    </w:p>
    <w:p>
      <w:pPr>
        <w:pStyle w:val="25"/>
        <w:spacing w:beforeLines="50" w:after="20" w:line="360" w:lineRule="auto"/>
        <w:jc w:val="center"/>
        <w:outlineLvl w:val="0"/>
        <w:rPr>
          <w:rFonts w:ascii="仿宋" w:hAnsi="仿宋" w:eastAsia="仿宋" w:cs="仿宋"/>
          <w:b/>
          <w:bCs/>
          <w:color w:val="auto"/>
          <w:kern w:val="2"/>
          <w:sz w:val="36"/>
          <w:szCs w:val="36"/>
        </w:rPr>
      </w:pPr>
      <w:bookmarkStart w:id="48" w:name="_Toc20997"/>
      <w:bookmarkStart w:id="49" w:name="_Toc27659"/>
      <w:bookmarkStart w:id="50" w:name="_Toc7612"/>
      <w:bookmarkStart w:id="51" w:name="_Toc4706"/>
      <w:bookmarkStart w:id="52" w:name="_Toc24582"/>
      <w:bookmarkStart w:id="53" w:name="_Toc2502"/>
      <w:r>
        <w:rPr>
          <w:rFonts w:hint="eastAsia" w:ascii="仿宋" w:hAnsi="仿宋" w:eastAsia="仿宋" w:cs="仿宋"/>
          <w:b/>
          <w:bCs/>
          <w:color w:val="auto"/>
          <w:kern w:val="2"/>
          <w:sz w:val="36"/>
          <w:szCs w:val="36"/>
        </w:rPr>
        <w:t>第七章响应文件主要格式要求</w:t>
      </w:r>
      <w:bookmarkEnd w:id="48"/>
      <w:bookmarkEnd w:id="49"/>
      <w:bookmarkEnd w:id="50"/>
      <w:bookmarkEnd w:id="51"/>
      <w:bookmarkEnd w:id="52"/>
      <w:bookmarkEnd w:id="53"/>
    </w:p>
    <w:p>
      <w:pPr>
        <w:tabs>
          <w:tab w:val="left" w:pos="426"/>
          <w:tab w:val="left" w:pos="851"/>
        </w:tabs>
        <w:adjustRightInd w:val="0"/>
        <w:spacing w:line="360" w:lineRule="auto"/>
        <w:ind w:firstLine="504" w:firstLineChars="200"/>
        <w:rPr>
          <w:rFonts w:ascii="仿宋" w:hAnsi="仿宋" w:eastAsia="仿宋" w:cs="仿宋"/>
          <w:color w:val="auto"/>
          <w:spacing w:val="6"/>
          <w:sz w:val="24"/>
        </w:rPr>
      </w:pPr>
      <w:bookmarkStart w:id="54" w:name="_Toc22320"/>
      <w:bookmarkStart w:id="55" w:name="_Toc26560"/>
      <w:bookmarkStart w:id="56" w:name="_Toc17149"/>
      <w:bookmarkStart w:id="57" w:name="_Toc26124"/>
      <w:bookmarkStart w:id="58" w:name="_Toc16494"/>
      <w:bookmarkStart w:id="59" w:name="_Toc13336"/>
      <w:bookmarkStart w:id="60" w:name="_Toc21231"/>
    </w:p>
    <w:p>
      <w:pPr>
        <w:tabs>
          <w:tab w:val="left" w:pos="426"/>
          <w:tab w:val="left" w:pos="851"/>
        </w:tabs>
        <w:adjustRightInd w:val="0"/>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一、本章所列示的响应文件格式由采购代理机构依规制订，并具有解释权。</w:t>
      </w:r>
    </w:p>
    <w:p>
      <w:pPr>
        <w:pStyle w:val="2"/>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1、响应文件格式中以“括号”方式标注“实质性要求”的，是指供应商不能擅自对此项格式文件内容作实质性更改，否则将会导致其响应无效。</w:t>
      </w:r>
    </w:p>
    <w:p>
      <w:pPr>
        <w:tabs>
          <w:tab w:val="left" w:pos="426"/>
          <w:tab w:val="left" w:pos="851"/>
        </w:tabs>
        <w:adjustRightInd w:val="0"/>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2、供应商响应文件相关资料和本章所制格式不一致的，需涵盖所有要求内容，未按要求正确填写、提供导致响应文件被认定为无效响应文件的，后果由供应商自行承担。</w:t>
      </w:r>
    </w:p>
    <w:p>
      <w:pPr>
        <w:tabs>
          <w:tab w:val="left" w:pos="426"/>
          <w:tab w:val="left" w:pos="851"/>
        </w:tabs>
        <w:adjustRightInd w:val="0"/>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二、本章所制响应文件格式有关表格中的备注栏，由供应商根据自身响应情况作解释性说明，不作为必填项。</w:t>
      </w:r>
    </w:p>
    <w:p>
      <w:pPr>
        <w:adjustRightInd w:val="0"/>
        <w:spacing w:line="360" w:lineRule="auto"/>
        <w:ind w:firstLine="504" w:firstLineChars="200"/>
        <w:rPr>
          <w:rFonts w:ascii="仿宋" w:hAnsi="仿宋" w:eastAsia="仿宋" w:cs="仿宋"/>
          <w:color w:val="auto"/>
          <w:sz w:val="24"/>
        </w:rPr>
      </w:pPr>
      <w:r>
        <w:rPr>
          <w:rFonts w:hint="eastAsia" w:ascii="仿宋" w:hAnsi="仿宋" w:eastAsia="仿宋" w:cs="仿宋"/>
          <w:color w:val="auto"/>
          <w:spacing w:val="6"/>
          <w:sz w:val="24"/>
        </w:rPr>
        <w:t>三、未提供格式的由供应商自拟。</w:t>
      </w:r>
    </w:p>
    <w:p>
      <w:pPr>
        <w:spacing w:line="360"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tabs>
          <w:tab w:val="left" w:leader="dot" w:pos="7380"/>
        </w:tabs>
        <w:snapToGrid w:val="0"/>
        <w:spacing w:line="324"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第一部分“资格性响应文件”格式</w:t>
      </w:r>
    </w:p>
    <w:p>
      <w:pPr>
        <w:pStyle w:val="2"/>
        <w:outlineLvl w:val="2"/>
        <w:rPr>
          <w:rFonts w:ascii="仿宋" w:hAnsi="仿宋" w:eastAsia="仿宋" w:cs="仿宋"/>
          <w:b/>
          <w:color w:val="auto"/>
          <w:sz w:val="24"/>
        </w:rPr>
      </w:pPr>
      <w:r>
        <w:rPr>
          <w:rFonts w:hint="eastAsia" w:ascii="仿宋" w:hAnsi="仿宋" w:eastAsia="仿宋" w:cs="仿宋"/>
          <w:b/>
          <w:color w:val="auto"/>
          <w:sz w:val="24"/>
        </w:rPr>
        <w:t>格式1-1</w:t>
      </w:r>
      <w:r>
        <w:rPr>
          <w:rFonts w:hint="eastAsia" w:ascii="仿宋" w:hAnsi="仿宋" w:cs="仿宋"/>
          <w:b/>
          <w:color w:val="auto"/>
          <w:sz w:val="24"/>
        </w:rPr>
        <w:t>:</w:t>
      </w:r>
      <w:r>
        <w:rPr>
          <w:rFonts w:hint="eastAsia" w:ascii="仿宋" w:hAnsi="仿宋" w:eastAsia="仿宋" w:cs="仿宋"/>
          <w:b/>
          <w:color w:val="auto"/>
          <w:sz w:val="24"/>
        </w:rPr>
        <w:t>资格性响应文件封面</w:t>
      </w:r>
    </w:p>
    <w:p>
      <w:pPr>
        <w:rPr>
          <w:rFonts w:ascii="仿宋" w:hAnsi="仿宋" w:eastAsia="仿宋" w:cs="仿宋"/>
          <w:color w:val="auto"/>
        </w:rPr>
      </w:pPr>
    </w:p>
    <w:p>
      <w:pPr>
        <w:tabs>
          <w:tab w:val="left" w:leader="dot" w:pos="7380"/>
        </w:tabs>
        <w:snapToGrid w:val="0"/>
        <w:spacing w:line="324" w:lineRule="auto"/>
        <w:jc w:val="left"/>
        <w:rPr>
          <w:rFonts w:ascii="仿宋" w:hAnsi="仿宋" w:eastAsia="仿宋" w:cs="仿宋"/>
          <w:b/>
          <w:bCs/>
          <w:color w:val="auto"/>
          <w:sz w:val="32"/>
          <w:szCs w:val="32"/>
        </w:rPr>
      </w:pPr>
      <w:r>
        <w:rPr>
          <w:rFonts w:ascii="仿宋" w:hAnsi="仿宋" w:eastAsia="仿宋" w:cs="仿宋"/>
          <w:b/>
          <w:bCs/>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3956685</wp:posOffset>
                </wp:positionH>
                <wp:positionV relativeFrom="paragraph">
                  <wp:posOffset>26035</wp:posOffset>
                </wp:positionV>
                <wp:extent cx="1604645" cy="425450"/>
                <wp:effectExtent l="4445" t="4445" r="10160" b="8255"/>
                <wp:wrapNone/>
                <wp:docPr id="8" name="矩形 8"/>
                <wp:cNvGraphicFramePr/>
                <a:graphic xmlns:a="http://schemas.openxmlformats.org/drawingml/2006/main">
                  <a:graphicData uri="http://schemas.microsoft.com/office/word/2010/wordprocessingShape">
                    <wps:wsp>
                      <wps:cNvSpPr/>
                      <wps:spPr>
                        <a:xfrm>
                          <a:off x="0" y="0"/>
                          <a:ext cx="1714500" cy="425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3.5pt;width:126.35pt;z-index:251663360;mso-width-relative:page;mso-height-relative:page;" fillcolor="#FFFFFF" filled="t" stroked="t" coordsize="21600,21600" o:gfxdata="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W8+TXAAAACAEAAA8AAAAAAAAAAQAgAAAAIgAAAGRycy9k&#10;b3ducmV2LnhtbFBLAQIUABQAAAAIAIdO4kBqb2tkAwIAADcEAAAOAAAAAAAAAAEAIAAAACYBAABk&#10;cnMvZTJvRG9jLnhtbFBLBQYAAAAABgAGAFkBAACbBQAAAAA=&#10;">
                <v:fill on="t" focussize="0,0"/>
                <v:stroke color="#000000" joinstyle="miter"/>
                <v:imagedata o:title=""/>
                <o:lock v:ext="edit" aspectratio="f"/>
                <v:textbox>
                  <w:txbxContent>
                    <w:p>
                      <w:pPr>
                        <w:jc w:val="center"/>
                        <w:rPr>
                          <w:b/>
                          <w:sz w:val="36"/>
                          <w:szCs w:val="36"/>
                        </w:rPr>
                      </w:pPr>
                      <w:r>
                        <w:rPr>
                          <w:rFonts w:hint="eastAsia"/>
                          <w:b/>
                          <w:sz w:val="36"/>
                          <w:szCs w:val="36"/>
                        </w:rPr>
                        <w:t>正本或副本</w:t>
                      </w:r>
                    </w:p>
                  </w:txbxContent>
                </v:textbox>
              </v:rect>
            </w:pict>
          </mc:Fallback>
        </mc:AlternateContent>
      </w:r>
    </w:p>
    <w:p>
      <w:pPr>
        <w:pStyle w:val="25"/>
        <w:tabs>
          <w:tab w:val="left" w:leader="dot" w:pos="7380"/>
        </w:tabs>
        <w:spacing w:before="100" w:beforeAutospacing="1" w:after="50" w:line="380" w:lineRule="exac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pStyle w:val="2"/>
        <w:rPr>
          <w:rFonts w:ascii="仿宋" w:hAnsi="仿宋" w:eastAsia="仿宋" w:cs="仿宋"/>
          <w:color w:val="auto"/>
        </w:rPr>
      </w:pPr>
    </w:p>
    <w:p>
      <w:pPr>
        <w:tabs>
          <w:tab w:val="left" w:leader="dot" w:pos="7380"/>
        </w:tabs>
        <w:snapToGrid w:val="0"/>
        <w:jc w:val="center"/>
        <w:rPr>
          <w:rFonts w:ascii="仿宋" w:hAnsi="仿宋" w:eastAsia="仿宋" w:cs="仿宋"/>
          <w:b/>
          <w:bCs/>
          <w:color w:val="auto"/>
          <w:sz w:val="30"/>
          <w:szCs w:val="30"/>
        </w:rPr>
      </w:pPr>
      <w:r>
        <w:rPr>
          <w:rFonts w:hint="eastAsia" w:ascii="仿宋" w:hAnsi="仿宋" w:eastAsia="仿宋" w:cs="仿宋"/>
          <w:b/>
          <w:bCs/>
          <w:color w:val="auto"/>
          <w:sz w:val="84"/>
          <w:szCs w:val="84"/>
        </w:rPr>
        <w:t>资格性响应文件</w:t>
      </w:r>
    </w:p>
    <w:p>
      <w:pPr>
        <w:tabs>
          <w:tab w:val="left" w:leader="dot" w:pos="7380"/>
        </w:tabs>
        <w:snapToGrid w:val="0"/>
        <w:spacing w:line="324" w:lineRule="auto"/>
        <w:jc w:val="center"/>
        <w:rPr>
          <w:rFonts w:ascii="仿宋" w:hAnsi="仿宋" w:eastAsia="仿宋" w:cs="仿宋"/>
          <w:b/>
          <w:bCs/>
          <w:color w:val="auto"/>
          <w:sz w:val="32"/>
          <w:szCs w:val="32"/>
        </w:rPr>
      </w:pPr>
    </w:p>
    <w:p>
      <w:pPr>
        <w:tabs>
          <w:tab w:val="left" w:pos="4005"/>
          <w:tab w:val="left" w:leader="dot" w:pos="7380"/>
        </w:tabs>
        <w:snapToGrid w:val="0"/>
        <w:spacing w:line="360" w:lineRule="auto"/>
        <w:rPr>
          <w:rFonts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项目名称：</w:t>
      </w: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项目编号：</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pStyle w:val="2"/>
        <w:rPr>
          <w:rFonts w:ascii="仿宋" w:hAnsi="仿宋" w:eastAsia="仿宋" w:cs="仿宋"/>
          <w:color w:val="auto"/>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日期：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pPr>
        <w:tabs>
          <w:tab w:val="left" w:leader="dot" w:pos="7380"/>
        </w:tabs>
        <w:snapToGrid w:val="0"/>
        <w:spacing w:line="324" w:lineRule="auto"/>
        <w:ind w:firstLine="643" w:firstLineChars="200"/>
        <w:jc w:val="left"/>
        <w:rPr>
          <w:rFonts w:ascii="宋体" w:hAnsi="宋体" w:cs="宋体"/>
          <w:b/>
          <w:bCs/>
          <w:color w:val="auto"/>
          <w:sz w:val="32"/>
          <w:szCs w:val="32"/>
        </w:rPr>
      </w:pPr>
    </w:p>
    <w:p>
      <w:pPr>
        <w:tabs>
          <w:tab w:val="left" w:leader="dot" w:pos="7380"/>
        </w:tabs>
        <w:snapToGrid w:val="0"/>
        <w:spacing w:line="324" w:lineRule="auto"/>
        <w:jc w:val="center"/>
        <w:rPr>
          <w:rFonts w:ascii="宋体" w:hAnsi="宋体" w:cs="宋体"/>
          <w:b/>
          <w:bCs/>
          <w:color w:val="auto"/>
          <w:sz w:val="32"/>
          <w:szCs w:val="32"/>
        </w:rPr>
      </w:pPr>
    </w:p>
    <w:p>
      <w:pPr>
        <w:tabs>
          <w:tab w:val="left" w:leader="dot" w:pos="7380"/>
        </w:tabs>
        <w:snapToGrid w:val="0"/>
        <w:spacing w:line="324" w:lineRule="auto"/>
        <w:jc w:val="center"/>
        <w:rPr>
          <w:rFonts w:ascii="宋体" w:hAnsi="宋体" w:cs="宋体"/>
          <w:b/>
          <w:bCs/>
          <w:color w:val="auto"/>
          <w:sz w:val="32"/>
          <w:szCs w:val="32"/>
        </w:rPr>
      </w:pPr>
    </w:p>
    <w:p>
      <w:pPr>
        <w:pStyle w:val="2"/>
        <w:rPr>
          <w:rFonts w:ascii="宋体" w:hAnsi="宋体" w:cs="宋体"/>
          <w:b/>
          <w:color w:val="auto"/>
          <w:sz w:val="32"/>
          <w:szCs w:val="32"/>
        </w:rPr>
      </w:pPr>
    </w:p>
    <w:p>
      <w:pPr>
        <w:pStyle w:val="10"/>
        <w:rPr>
          <w:rFonts w:ascii="宋体" w:hAnsi="宋体" w:cs="宋体"/>
          <w:b/>
          <w:bCs/>
          <w:color w:val="auto"/>
          <w:sz w:val="32"/>
          <w:szCs w:val="32"/>
        </w:rPr>
      </w:pPr>
    </w:p>
    <w:p>
      <w:pPr>
        <w:widowControl/>
        <w:numPr>
          <w:ilvl w:val="255"/>
          <w:numId w:val="0"/>
        </w:numPr>
        <w:jc w:val="left"/>
        <w:rPr>
          <w:rFonts w:ascii="仿宋" w:hAnsi="仿宋" w:eastAsia="仿宋" w:cs="仿宋"/>
          <w:b/>
          <w:bCs/>
          <w:color w:val="auto"/>
          <w:sz w:val="24"/>
        </w:rPr>
      </w:pPr>
      <w:bookmarkStart w:id="61" w:name="_Toc4357"/>
      <w:r>
        <w:rPr>
          <w:rFonts w:hint="eastAsia" w:ascii="仿宋" w:hAnsi="仿宋" w:eastAsia="仿宋" w:cs="仿宋"/>
          <w:b/>
          <w:bCs/>
          <w:color w:val="auto"/>
          <w:sz w:val="24"/>
        </w:rPr>
        <w:br w:type="page"/>
      </w:r>
    </w:p>
    <w:p>
      <w:pPr>
        <w:widowControl/>
        <w:spacing w:line="480" w:lineRule="auto"/>
        <w:outlineLvl w:val="2"/>
        <w:rPr>
          <w:rFonts w:ascii="仿宋" w:hAnsi="仿宋" w:eastAsia="仿宋" w:cs="仿宋"/>
          <w:color w:val="auto"/>
          <w:sz w:val="24"/>
        </w:rPr>
      </w:pPr>
      <w:r>
        <w:rPr>
          <w:rFonts w:hint="eastAsia" w:ascii="仿宋" w:hAnsi="仿宋" w:eastAsia="仿宋" w:cs="仿宋"/>
          <w:b/>
          <w:bCs/>
          <w:color w:val="auto"/>
          <w:sz w:val="24"/>
        </w:rPr>
        <w:t>格式1-2</w:t>
      </w:r>
      <w:r>
        <w:rPr>
          <w:rFonts w:hint="eastAsia" w:ascii="仿宋" w:hAnsi="仿宋" w:cs="仿宋"/>
          <w:b/>
          <w:bCs/>
          <w:color w:val="auto"/>
          <w:sz w:val="24"/>
        </w:rPr>
        <w:t>:</w:t>
      </w:r>
      <w:r>
        <w:rPr>
          <w:rFonts w:hint="eastAsia" w:ascii="仿宋" w:hAnsi="仿宋" w:eastAsia="仿宋" w:cs="仿宋"/>
          <w:b/>
          <w:color w:val="auto"/>
          <w:sz w:val="24"/>
        </w:rPr>
        <w:t>法定代表人身份证明</w:t>
      </w:r>
      <w:bookmarkEnd w:id="61"/>
    </w:p>
    <w:p>
      <w:pPr>
        <w:widowControl/>
        <w:spacing w:line="360" w:lineRule="auto"/>
        <w:jc w:val="center"/>
        <w:rPr>
          <w:rFonts w:ascii="仿宋" w:hAnsi="仿宋" w:eastAsia="仿宋" w:cs="仿宋"/>
          <w:b/>
          <w:color w:val="auto"/>
          <w:sz w:val="36"/>
          <w:szCs w:val="36"/>
        </w:rPr>
      </w:pPr>
      <w:bookmarkStart w:id="62" w:name="_Toc12389"/>
      <w:r>
        <w:rPr>
          <w:rFonts w:hint="eastAsia" w:ascii="仿宋" w:hAnsi="仿宋" w:eastAsia="仿宋" w:cs="仿宋"/>
          <w:b/>
          <w:color w:val="auto"/>
          <w:sz w:val="36"/>
          <w:szCs w:val="36"/>
        </w:rPr>
        <w:t>法定代表人身份证明</w:t>
      </w:r>
      <w:bookmarkEnd w:id="62"/>
    </w:p>
    <w:p>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（实质性要求）</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单位性质：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经营期限：</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姓名：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 别：</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年龄：</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 务：</w:t>
      </w:r>
      <w:r>
        <w:rPr>
          <w:rFonts w:hint="eastAsia" w:ascii="仿宋" w:hAnsi="仿宋" w:eastAsia="仿宋" w:cs="仿宋"/>
          <w:color w:val="auto"/>
          <w:sz w:val="24"/>
          <w:lang w:val="en-US" w:eastAsia="zh-CN"/>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（供应商名称）</w:t>
      </w:r>
      <w:r>
        <w:rPr>
          <w:rFonts w:hint="eastAsia" w:ascii="仿宋" w:hAnsi="仿宋" w:eastAsia="仿宋" w:cs="仿宋"/>
          <w:color w:val="auto"/>
          <w:sz w:val="24"/>
        </w:rPr>
        <w:t>的法定代表人。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特此证明。</w:t>
      </w:r>
    </w:p>
    <w:p>
      <w:pPr>
        <w:spacing w:line="360" w:lineRule="auto"/>
        <w:rPr>
          <w:rFonts w:ascii="仿宋" w:hAnsi="仿宋" w:eastAsia="仿宋" w:cs="仿宋"/>
          <w:color w:val="auto"/>
          <w:szCs w:val="21"/>
        </w:rPr>
      </w:pPr>
    </w:p>
    <w:p>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附：法定代表人身份证正反面影印件</w:t>
      </w:r>
      <w:r>
        <w:rPr>
          <w:rFonts w:hint="eastAsia" w:ascii="仿宋" w:hAnsi="仿宋" w:eastAsia="仿宋" w:cs="仿宋"/>
          <w:bCs/>
          <w:color w:val="auto"/>
          <w:sz w:val="24"/>
        </w:rPr>
        <w:t>加盖公章。</w:t>
      </w:r>
    </w:p>
    <w:p>
      <w:pPr>
        <w:spacing w:line="360" w:lineRule="auto"/>
        <w:rPr>
          <w:rFonts w:ascii="仿宋" w:hAnsi="仿宋" w:eastAsia="仿宋" w:cs="仿宋"/>
          <w:b/>
          <w:bCs/>
          <w:color w:val="auto"/>
          <w:sz w:val="36"/>
          <w:szCs w:val="36"/>
        </w:rPr>
      </w:pP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法定代表人（签字）：</w:t>
      </w:r>
    </w:p>
    <w:p>
      <w:pPr>
        <w:spacing w:line="360" w:lineRule="auto"/>
        <w:ind w:firstLine="480" w:firstLineChars="200"/>
        <w:rPr>
          <w:rFonts w:ascii="仿宋" w:hAnsi="仿宋" w:eastAsia="仿宋" w:cs="仿宋"/>
          <w:b/>
          <w:bCs/>
          <w:color w:val="auto"/>
          <w:spacing w:val="-2"/>
          <w:sz w:val="36"/>
          <w:szCs w:val="36"/>
        </w:rPr>
      </w:pPr>
      <w:r>
        <w:rPr>
          <w:rFonts w:hint="eastAsia" w:ascii="仿宋" w:hAnsi="仿宋" w:eastAsia="仿宋" w:cs="仿宋"/>
          <w:bCs/>
          <w:color w:val="auto"/>
          <w:sz w:val="24"/>
        </w:rPr>
        <w:t>日    期：</w:t>
      </w:r>
    </w:p>
    <w:p>
      <w:pPr>
        <w:spacing w:line="360" w:lineRule="auto"/>
        <w:jc w:val="left"/>
        <w:rPr>
          <w:rFonts w:ascii="仿宋" w:hAnsi="仿宋" w:eastAsia="仿宋" w:cs="仿宋"/>
          <w:bCs/>
          <w:color w:val="auto"/>
          <w:sz w:val="24"/>
        </w:rPr>
      </w:pPr>
    </w:p>
    <w:p>
      <w:pPr>
        <w:spacing w:line="360" w:lineRule="auto"/>
        <w:jc w:val="left"/>
        <w:rPr>
          <w:rFonts w:ascii="仿宋" w:hAnsi="仿宋" w:eastAsia="仿宋" w:cs="仿宋"/>
          <w:bCs/>
          <w:color w:val="auto"/>
          <w:sz w:val="24"/>
        </w:rPr>
      </w:pPr>
      <w:r>
        <w:rPr>
          <w:rFonts w:hint="eastAsia" w:ascii="仿宋" w:hAnsi="仿宋" w:eastAsia="仿宋" w:cs="仿宋"/>
          <w:bCs/>
          <w:color w:val="auto"/>
          <w:sz w:val="24"/>
        </w:rPr>
        <w:t>说明：</w:t>
      </w:r>
    </w:p>
    <w:p>
      <w:pPr>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① 供应商代表为法定代表人时提供。</w:t>
      </w:r>
    </w:p>
    <w:p>
      <w:pPr>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② 银行、保险、石油石化、电力、电信等行业以非法人身份参加谈判的，“法定代表人”指代表单位行使职权的主要负责人，即与实际提交的“营业执照等证明文件”载明的一致。</w:t>
      </w:r>
    </w:p>
    <w:p>
      <w:pPr>
        <w:widowControl/>
        <w:spacing w:line="360" w:lineRule="auto"/>
        <w:jc w:val="left"/>
        <w:rPr>
          <w:rFonts w:ascii="宋体" w:hAnsi="宋体" w:cs="宋体"/>
          <w:b/>
          <w:bCs/>
          <w:color w:val="auto"/>
          <w:sz w:val="24"/>
        </w:rPr>
      </w:pPr>
    </w:p>
    <w:p>
      <w:pPr>
        <w:widowControl/>
        <w:spacing w:line="360" w:lineRule="auto"/>
        <w:jc w:val="left"/>
        <w:rPr>
          <w:rFonts w:ascii="宋体" w:hAnsi="宋体" w:cs="宋体"/>
          <w:b/>
          <w:bCs/>
          <w:color w:val="auto"/>
          <w:sz w:val="24"/>
        </w:rPr>
      </w:pPr>
    </w:p>
    <w:p>
      <w:pPr>
        <w:widowControl/>
        <w:spacing w:line="360" w:lineRule="auto"/>
        <w:jc w:val="left"/>
        <w:rPr>
          <w:rFonts w:ascii="宋体" w:hAnsi="宋体" w:cs="宋体"/>
          <w:b/>
          <w:bCs/>
          <w:color w:val="auto"/>
          <w:sz w:val="24"/>
        </w:rPr>
      </w:pPr>
    </w:p>
    <w:p>
      <w:pPr>
        <w:widowControl/>
        <w:spacing w:line="360" w:lineRule="auto"/>
        <w:jc w:val="left"/>
        <w:rPr>
          <w:rFonts w:ascii="宋体" w:hAnsi="宋体" w:cs="宋体"/>
          <w:b/>
          <w:bCs/>
          <w:color w:val="auto"/>
          <w:sz w:val="24"/>
        </w:rPr>
      </w:pPr>
    </w:p>
    <w:bookmarkEnd w:id="54"/>
    <w:bookmarkEnd w:id="55"/>
    <w:bookmarkEnd w:id="56"/>
    <w:bookmarkEnd w:id="57"/>
    <w:bookmarkEnd w:id="58"/>
    <w:bookmarkEnd w:id="59"/>
    <w:bookmarkEnd w:id="60"/>
    <w:p>
      <w:pPr>
        <w:jc w:val="left"/>
        <w:rPr>
          <w:rFonts w:ascii="仿宋" w:hAnsi="仿宋" w:eastAsia="仿宋" w:cs="仿宋"/>
          <w:b/>
          <w:bCs/>
          <w:color w:val="auto"/>
          <w:sz w:val="24"/>
        </w:rPr>
      </w:pPr>
      <w:bookmarkStart w:id="63" w:name="_Toc30155"/>
      <w:bookmarkStart w:id="64" w:name="_Toc19094"/>
      <w:r>
        <w:rPr>
          <w:rFonts w:hint="eastAsia" w:ascii="仿宋" w:hAnsi="仿宋" w:eastAsia="仿宋" w:cs="仿宋"/>
          <w:b/>
          <w:bCs/>
          <w:color w:val="auto"/>
          <w:sz w:val="24"/>
        </w:rPr>
        <w:br w:type="page"/>
      </w:r>
    </w:p>
    <w:p>
      <w:pPr>
        <w:spacing w:line="480" w:lineRule="auto"/>
        <w:jc w:val="left"/>
        <w:outlineLvl w:val="2"/>
        <w:rPr>
          <w:rFonts w:ascii="仿宋" w:hAnsi="仿宋" w:eastAsia="仿宋" w:cs="仿宋"/>
          <w:b/>
          <w:bCs/>
          <w:color w:val="auto"/>
          <w:spacing w:val="-2"/>
          <w:sz w:val="36"/>
          <w:szCs w:val="36"/>
        </w:rPr>
      </w:pPr>
      <w:r>
        <w:rPr>
          <w:rFonts w:hint="eastAsia" w:ascii="仿宋" w:hAnsi="仿宋" w:eastAsia="仿宋" w:cs="仿宋"/>
          <w:b/>
          <w:bCs/>
          <w:color w:val="auto"/>
          <w:sz w:val="24"/>
        </w:rPr>
        <w:t>格式1-3</w:t>
      </w:r>
      <w:r>
        <w:rPr>
          <w:rFonts w:hint="eastAsia" w:ascii="仿宋" w:hAnsi="仿宋" w:cs="仿宋"/>
          <w:b/>
          <w:bCs/>
          <w:color w:val="auto"/>
          <w:sz w:val="24"/>
        </w:rPr>
        <w:t>:</w:t>
      </w:r>
      <w:r>
        <w:rPr>
          <w:rFonts w:hint="eastAsia" w:ascii="仿宋" w:hAnsi="仿宋" w:eastAsia="仿宋" w:cs="仿宋"/>
          <w:b/>
          <w:bCs/>
          <w:color w:val="auto"/>
          <w:spacing w:val="-2"/>
          <w:sz w:val="24"/>
        </w:rPr>
        <w:t>法定代表人授权委托书</w:t>
      </w:r>
    </w:p>
    <w:p>
      <w:pPr>
        <w:spacing w:line="360" w:lineRule="auto"/>
        <w:jc w:val="center"/>
        <w:rPr>
          <w:rFonts w:ascii="仿宋" w:hAnsi="仿宋" w:eastAsia="仿宋" w:cs="仿宋"/>
          <w:b/>
          <w:color w:val="auto"/>
          <w:sz w:val="24"/>
        </w:rPr>
      </w:pPr>
      <w:bookmarkStart w:id="65" w:name="_Toc18432"/>
      <w:r>
        <w:rPr>
          <w:rFonts w:hint="eastAsia" w:ascii="仿宋" w:hAnsi="仿宋" w:eastAsia="仿宋" w:cs="仿宋"/>
          <w:b/>
          <w:bCs/>
          <w:color w:val="auto"/>
          <w:spacing w:val="-2"/>
          <w:sz w:val="36"/>
          <w:szCs w:val="36"/>
        </w:rPr>
        <w:t>法定代表人授权委托书</w:t>
      </w:r>
      <w:bookmarkEnd w:id="65"/>
    </w:p>
    <w:p>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（实质性要求）</w:t>
      </w:r>
    </w:p>
    <w:p>
      <w:pPr>
        <w:pStyle w:val="19"/>
        <w:snapToGrid w:val="0"/>
        <w:spacing w:line="360" w:lineRule="auto"/>
        <w:ind w:left="0" w:leftChars="0"/>
        <w:rPr>
          <w:rFonts w:ascii="仿宋" w:hAnsi="仿宋" w:eastAsia="仿宋" w:cs="仿宋"/>
          <w:bCs/>
          <w:color w:val="auto"/>
          <w:sz w:val="24"/>
        </w:rPr>
      </w:pPr>
      <w:r>
        <w:rPr>
          <w:rFonts w:hint="eastAsia" w:ascii="仿宋" w:hAnsi="仿宋" w:eastAsia="仿宋" w:cs="仿宋"/>
          <w:bCs/>
          <w:color w:val="auto"/>
          <w:sz w:val="24"/>
          <w:u w:val="single"/>
        </w:rPr>
        <w:t>XXXXXX（采购人名称）</w:t>
      </w:r>
      <w:r>
        <w:rPr>
          <w:rFonts w:hint="eastAsia" w:ascii="仿宋" w:hAnsi="仿宋" w:eastAsia="仿宋" w:cs="仿宋"/>
          <w:bCs/>
          <w:color w:val="auto"/>
          <w:sz w:val="24"/>
        </w:rPr>
        <w:t>：</w:t>
      </w:r>
    </w:p>
    <w:p>
      <w:pPr>
        <w:pStyle w:val="19"/>
        <w:snapToGrid w:val="0"/>
        <w:spacing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本授权声明:___________（供应商名称）法定代表人___________（法定代表人姓名、职务）授权_________（被授权人姓名、职务）为我方参与 ___________项目（项目编号：</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）谈判活动的合法代表，以我方名义全权处理该项目有关谈判、签订合同以及执行合同等一切事宜。</w:t>
      </w:r>
    </w:p>
    <w:p>
      <w:pPr>
        <w:pStyle w:val="19"/>
        <w:snapToGrid w:val="0"/>
        <w:spacing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特此授权。</w:t>
      </w:r>
    </w:p>
    <w:p>
      <w:pPr>
        <w:pStyle w:val="19"/>
        <w:snapToGrid w:val="0"/>
        <w:spacing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附：法定代表人和授权代表身份证正反面影印件加盖公章。</w:t>
      </w:r>
    </w:p>
    <w:p>
      <w:pPr>
        <w:pStyle w:val="19"/>
        <w:snapToGrid w:val="0"/>
        <w:spacing w:line="360" w:lineRule="auto"/>
        <w:ind w:left="0" w:leftChars="0" w:firstLine="480" w:firstLineChars="200"/>
        <w:rPr>
          <w:rFonts w:ascii="仿宋" w:hAnsi="仿宋" w:eastAsia="仿宋" w:cs="仿宋"/>
          <w:bCs/>
          <w:color w:val="auto"/>
          <w:sz w:val="24"/>
        </w:rPr>
      </w:pPr>
    </w:p>
    <w:p>
      <w:pPr>
        <w:pStyle w:val="19"/>
        <w:snapToGrid w:val="0"/>
        <w:spacing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pStyle w:val="19"/>
        <w:snapToGrid w:val="0"/>
        <w:spacing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法定代表人签字：</w:t>
      </w:r>
    </w:p>
    <w:p>
      <w:pPr>
        <w:pStyle w:val="19"/>
        <w:snapToGrid w:val="0"/>
        <w:spacing w:line="360" w:lineRule="auto"/>
        <w:ind w:left="0" w:leftChars="0" w:firstLine="480" w:firstLineChars="200"/>
        <w:rPr>
          <w:rFonts w:ascii="仿宋" w:hAnsi="仿宋" w:eastAsia="仿宋" w:cs="仿宋"/>
          <w:bCs/>
          <w:color w:val="auto"/>
          <w:sz w:val="24"/>
          <w:szCs w:val="22"/>
        </w:rPr>
      </w:pPr>
      <w:r>
        <w:rPr>
          <w:rFonts w:hint="eastAsia" w:ascii="仿宋" w:hAnsi="仿宋" w:eastAsia="仿宋" w:cs="仿宋"/>
          <w:bCs/>
          <w:color w:val="auto"/>
          <w:sz w:val="24"/>
        </w:rPr>
        <w:t>授权代表签字：</w:t>
      </w:r>
    </w:p>
    <w:p>
      <w:pPr>
        <w:pStyle w:val="19"/>
        <w:snapToGrid w:val="0"/>
        <w:spacing w:line="360" w:lineRule="auto"/>
        <w:ind w:left="0" w:leftChars="0" w:firstLine="480" w:firstLineChars="200"/>
        <w:rPr>
          <w:rFonts w:ascii="仿宋" w:hAnsi="仿宋" w:eastAsia="仿宋" w:cs="仿宋"/>
          <w:bCs/>
          <w:color w:val="auto"/>
          <w:sz w:val="24"/>
          <w:szCs w:val="22"/>
        </w:rPr>
      </w:pPr>
      <w:r>
        <w:rPr>
          <w:rFonts w:hint="eastAsia" w:ascii="仿宋" w:hAnsi="仿宋" w:eastAsia="仿宋" w:cs="仿宋"/>
          <w:bCs/>
          <w:color w:val="auto"/>
          <w:sz w:val="24"/>
          <w:szCs w:val="22"/>
        </w:rPr>
        <w:t>日    期：</w:t>
      </w:r>
    </w:p>
    <w:p>
      <w:pPr>
        <w:pStyle w:val="19"/>
        <w:snapToGrid w:val="0"/>
        <w:spacing w:line="360" w:lineRule="auto"/>
        <w:ind w:left="0" w:leftChars="0" w:firstLine="480" w:firstLineChars="200"/>
        <w:rPr>
          <w:rFonts w:ascii="仿宋" w:hAnsi="仿宋" w:eastAsia="仿宋" w:cs="仿宋"/>
          <w:bCs/>
          <w:color w:val="auto"/>
          <w:sz w:val="24"/>
          <w:szCs w:val="22"/>
        </w:rPr>
      </w:pPr>
    </w:p>
    <w:p>
      <w:pPr>
        <w:pStyle w:val="19"/>
        <w:snapToGrid w:val="0"/>
        <w:spacing w:line="360" w:lineRule="auto"/>
        <w:ind w:left="0" w:leftChars="0" w:firstLine="480" w:firstLineChars="200"/>
        <w:rPr>
          <w:rFonts w:ascii="仿宋" w:hAnsi="仿宋" w:eastAsia="仿宋" w:cs="仿宋"/>
          <w:bCs/>
          <w:color w:val="auto"/>
          <w:sz w:val="24"/>
          <w:szCs w:val="22"/>
        </w:rPr>
      </w:pPr>
    </w:p>
    <w:p>
      <w:pPr>
        <w:widowControl/>
        <w:spacing w:line="360" w:lineRule="auto"/>
        <w:jc w:val="left"/>
        <w:rPr>
          <w:rFonts w:ascii="仿宋" w:hAnsi="仿宋" w:eastAsia="仿宋" w:cs="仿宋"/>
          <w:bCs/>
          <w:color w:val="auto"/>
          <w:sz w:val="24"/>
        </w:rPr>
      </w:pPr>
      <w:r>
        <w:rPr>
          <w:rFonts w:hint="eastAsia" w:ascii="仿宋" w:hAnsi="仿宋" w:eastAsia="仿宋" w:cs="仿宋"/>
          <w:color w:val="auto"/>
          <w:kern w:val="0"/>
          <w:sz w:val="24"/>
        </w:rPr>
        <w:t xml:space="preserve">说明： </w:t>
      </w:r>
      <w:r>
        <w:rPr>
          <w:rFonts w:hint="eastAsia" w:ascii="仿宋" w:hAnsi="仿宋" w:eastAsia="仿宋" w:cs="仿宋"/>
          <w:bCs/>
          <w:color w:val="auto"/>
          <w:sz w:val="24"/>
        </w:rPr>
        <w:t>供应商代表为非法定代表人时提供。</w:t>
      </w:r>
    </w:p>
    <w:bookmarkEnd w:id="63"/>
    <w:bookmarkEnd w:id="64"/>
    <w:p>
      <w:pPr>
        <w:widowControl/>
        <w:jc w:val="left"/>
        <w:rPr>
          <w:rFonts w:ascii="仿宋" w:hAnsi="仿宋" w:eastAsia="仿宋" w:cs="仿宋"/>
          <w:b/>
          <w:bCs/>
          <w:color w:val="auto"/>
          <w:sz w:val="24"/>
        </w:rPr>
      </w:pPr>
      <w:r>
        <w:rPr>
          <w:rFonts w:hint="eastAsia" w:ascii="仿宋" w:hAnsi="仿宋" w:eastAsia="仿宋" w:cs="仿宋"/>
          <w:b/>
          <w:bCs/>
          <w:color w:val="auto"/>
          <w:sz w:val="24"/>
        </w:rPr>
        <w:br w:type="page"/>
      </w:r>
    </w:p>
    <w:p>
      <w:pPr>
        <w:widowControl/>
        <w:spacing w:line="480" w:lineRule="auto"/>
        <w:jc w:val="left"/>
        <w:outlineLvl w:val="2"/>
        <w:rPr>
          <w:rFonts w:ascii="仿宋" w:hAnsi="仿宋" w:eastAsia="仿宋" w:cs="仿宋"/>
          <w:b/>
          <w:bCs/>
          <w:color w:val="auto"/>
          <w:spacing w:val="-2"/>
          <w:sz w:val="24"/>
        </w:rPr>
      </w:pPr>
      <w:r>
        <w:rPr>
          <w:rFonts w:hint="eastAsia" w:ascii="仿宋" w:hAnsi="仿宋" w:eastAsia="仿宋" w:cs="仿宋"/>
          <w:b/>
          <w:bCs/>
          <w:color w:val="auto"/>
          <w:spacing w:val="-2"/>
          <w:sz w:val="24"/>
        </w:rPr>
        <w:t>格式1-4:资格声明函</w:t>
      </w:r>
    </w:p>
    <w:p>
      <w:pPr>
        <w:widowControl/>
        <w:spacing w:line="360" w:lineRule="auto"/>
        <w:jc w:val="center"/>
        <w:rPr>
          <w:rFonts w:ascii="仿宋" w:hAnsi="仿宋" w:eastAsia="仿宋" w:cs="仿宋"/>
          <w:b/>
          <w:bCs/>
          <w:color w:val="auto"/>
          <w:sz w:val="30"/>
          <w:szCs w:val="30"/>
        </w:rPr>
      </w:pPr>
      <w:r>
        <w:rPr>
          <w:rFonts w:hint="eastAsia" w:ascii="仿宋" w:hAnsi="仿宋" w:eastAsia="仿宋" w:cs="仿宋"/>
          <w:b/>
          <w:bCs/>
          <w:color w:val="auto"/>
          <w:spacing w:val="-2"/>
          <w:sz w:val="36"/>
          <w:szCs w:val="36"/>
        </w:rPr>
        <w:t>资格声明函</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（实质性要求）</w:t>
      </w:r>
    </w:p>
    <w:p>
      <w:pPr>
        <w:widowControl/>
        <w:spacing w:line="360" w:lineRule="auto"/>
        <w:jc w:val="left"/>
        <w:rPr>
          <w:rFonts w:ascii="仿宋" w:hAnsi="仿宋" w:eastAsia="仿宋"/>
          <w:color w:val="auto"/>
          <w:sz w:val="24"/>
        </w:rPr>
      </w:pPr>
      <w:r>
        <w:rPr>
          <w:rFonts w:hint="eastAsia" w:ascii="仿宋" w:hAnsi="仿宋" w:eastAsia="仿宋" w:cs="仿宋"/>
          <w:bCs/>
          <w:color w:val="auto"/>
          <w:sz w:val="24"/>
          <w:u w:val="single"/>
        </w:rPr>
        <w:t>XXXXXX（采购人名称）</w:t>
      </w:r>
      <w:r>
        <w:rPr>
          <w:rFonts w:hint="eastAsia" w:ascii="仿宋" w:hAnsi="仿宋" w:eastAsia="仿宋" w:cs="仿宋"/>
          <w:color w:val="auto"/>
          <w:sz w:val="24"/>
        </w:rPr>
        <w:t>：</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rPr>
        <w:t>我方作为本次采购项目的供应商，根据采购文件要求，现郑重声明如下：</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一、我方</w:t>
      </w:r>
      <w:r>
        <w:rPr>
          <w:rFonts w:hint="eastAsia" w:ascii="仿宋" w:hAnsi="仿宋" w:eastAsia="仿宋" w:cs="仿宋"/>
          <w:bCs/>
          <w:color w:val="auto"/>
          <w:sz w:val="24"/>
        </w:rPr>
        <w:t>具有独立承担民事责任的能力。</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二、我方</w:t>
      </w:r>
      <w:r>
        <w:rPr>
          <w:rFonts w:hint="eastAsia" w:ascii="仿宋" w:hAnsi="仿宋" w:eastAsia="仿宋" w:cs="仿宋"/>
          <w:bCs/>
          <w:color w:val="auto"/>
          <w:sz w:val="24"/>
        </w:rPr>
        <w:t>具有良好的商业信誉和健全的财务会计制度。</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三、我方</w:t>
      </w:r>
      <w:r>
        <w:rPr>
          <w:rFonts w:hint="eastAsia" w:ascii="仿宋" w:hAnsi="仿宋" w:eastAsia="仿宋" w:cs="仿宋"/>
          <w:bCs/>
          <w:color w:val="auto"/>
          <w:sz w:val="24"/>
        </w:rPr>
        <w:t>具有履行合同所必需的设备和专业技术能力。</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四、我方具</w:t>
      </w:r>
      <w:r>
        <w:rPr>
          <w:rFonts w:hint="eastAsia" w:ascii="仿宋" w:hAnsi="仿宋" w:eastAsia="仿宋" w:cs="仿宋"/>
          <w:bCs/>
          <w:color w:val="auto"/>
          <w:sz w:val="24"/>
        </w:rPr>
        <w:t>有依法缴纳税收和社会保障资金的良好记录。</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五、我方</w:t>
      </w:r>
      <w:r>
        <w:rPr>
          <w:rFonts w:hint="eastAsia" w:ascii="仿宋" w:hAnsi="仿宋" w:eastAsia="仿宋" w:cs="仿宋"/>
          <w:bCs/>
          <w:color w:val="auto"/>
          <w:sz w:val="24"/>
        </w:rPr>
        <w:t>参加本次采购活动前三年内，在经营活动中没有重大违法记录；</w:t>
      </w:r>
    </w:p>
    <w:p>
      <w:pPr>
        <w:spacing w:line="360" w:lineRule="auto"/>
        <w:ind w:firstLine="480"/>
        <w:rPr>
          <w:rFonts w:ascii="仿宋" w:hAnsi="仿宋" w:eastAsia="仿宋" w:cs="仿宋"/>
          <w:bCs/>
          <w:color w:val="auto"/>
          <w:sz w:val="24"/>
        </w:rPr>
      </w:pPr>
      <w:r>
        <w:rPr>
          <w:rFonts w:hint="eastAsia" w:ascii="仿宋" w:hAnsi="仿宋" w:eastAsia="仿宋" w:cs="仿宋"/>
          <w:color w:val="auto"/>
          <w:sz w:val="24"/>
        </w:rPr>
        <w:t>六、我方符合</w:t>
      </w:r>
      <w:r>
        <w:rPr>
          <w:rFonts w:hint="eastAsia" w:ascii="仿宋" w:hAnsi="仿宋" w:eastAsia="仿宋" w:cs="仿宋"/>
          <w:bCs/>
          <w:color w:val="auto"/>
          <w:sz w:val="24"/>
        </w:rPr>
        <w:t>法律、行政法规规定的其他条件。</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七、截至响应文件递交截止日，我方未被列入失信被执行人、重大税收违法案件当事人名单、政府采购严重违法失信行为记录名单。</w:t>
      </w:r>
    </w:p>
    <w:p>
      <w:pPr>
        <w:widowControl/>
        <w:spacing w:line="360" w:lineRule="auto"/>
        <w:ind w:firstLine="480" w:firstLineChars="200"/>
        <w:jc w:val="left"/>
        <w:rPr>
          <w:rFonts w:ascii="仿宋" w:eastAsia="仿宋" w:cs="仿宋"/>
          <w:bCs/>
          <w:color w:val="auto"/>
          <w:sz w:val="24"/>
        </w:rPr>
      </w:pPr>
      <w:r>
        <w:rPr>
          <w:rFonts w:hint="eastAsia" w:ascii="仿宋" w:eastAsia="仿宋" w:cs="仿宋"/>
          <w:bCs/>
          <w:color w:val="auto"/>
          <w:sz w:val="24"/>
        </w:rPr>
        <w:t>八、我单位及其现任法定代表人、主要负责人在参加本次</w:t>
      </w:r>
      <w:r>
        <w:rPr>
          <w:rFonts w:hint="eastAsia" w:ascii="仿宋" w:hAnsi="仿宋" w:eastAsia="仿宋" w:cs="仿宋"/>
          <w:color w:val="auto"/>
          <w:sz w:val="24"/>
        </w:rPr>
        <w:t>政府</w:t>
      </w:r>
      <w:r>
        <w:rPr>
          <w:rFonts w:hint="eastAsia" w:ascii="仿宋" w:eastAsia="仿宋" w:cs="仿宋"/>
          <w:bCs/>
          <w:color w:val="auto"/>
          <w:sz w:val="24"/>
        </w:rPr>
        <w:t>采购活动前三年内无行贿犯罪记录。</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九、我方符合第二章供应商须知前附表“充分、公平竞争保障措施”的规定。</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十、与我方存在直接控股关系的单位为：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；存在管理关系单位为：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。（如果没有的，填写“无”）</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rPr>
        <w:t>本单位对上述承诺的内容事项真实性负责。如经查实上述承诺的内容事项存在虚假，我方愿意依法承担因提供虚假材料谋取成交的法律责任。</w:t>
      </w:r>
    </w:p>
    <w:p>
      <w:pPr>
        <w:widowControl/>
        <w:spacing w:line="360" w:lineRule="auto"/>
        <w:ind w:firstLine="480" w:firstLineChars="200"/>
        <w:jc w:val="left"/>
        <w:rPr>
          <w:rFonts w:ascii="仿宋" w:hAnsi="仿宋" w:eastAsia="仿宋"/>
          <w:color w:val="auto"/>
          <w:sz w:val="24"/>
        </w:rPr>
      </w:pPr>
    </w:p>
    <w:p>
      <w:pPr>
        <w:widowControl/>
        <w:wordWrap w:val="0"/>
        <w:spacing w:line="360" w:lineRule="auto"/>
        <w:rPr>
          <w:rFonts w:ascii="仿宋" w:hAnsi="仿宋" w:eastAsia="仿宋" w:cs="仿宋"/>
          <w:color w:val="auto"/>
          <w:sz w:val="24"/>
        </w:rPr>
      </w:pPr>
    </w:p>
    <w:p>
      <w:pPr>
        <w:widowControl/>
        <w:wordWrap w:val="0"/>
        <w:spacing w:line="360" w:lineRule="auto"/>
        <w:rPr>
          <w:rFonts w:ascii="仿宋" w:hAnsi="仿宋" w:eastAsia="仿宋" w:cs="仿宋"/>
          <w:color w:val="auto"/>
          <w:sz w:val="24"/>
        </w:rPr>
      </w:pPr>
    </w:p>
    <w:p>
      <w:pPr>
        <w:widowControl/>
        <w:wordWrap w:val="0"/>
        <w:spacing w:line="360" w:lineRule="auto"/>
        <w:rPr>
          <w:rFonts w:ascii="仿宋" w:hAnsi="仿宋" w:eastAsia="仿宋" w:cs="仿宋"/>
          <w:color w:val="auto"/>
          <w:sz w:val="24"/>
        </w:rPr>
      </w:pPr>
    </w:p>
    <w:p>
      <w:pPr>
        <w:widowControl/>
        <w:wordWrap w:val="0"/>
        <w:spacing w:line="360" w:lineRule="auto"/>
        <w:ind w:firstLine="480" w:firstLineChars="200"/>
        <w:rPr>
          <w:rFonts w:ascii="仿宋" w:hAnsi="仿宋" w:eastAsia="仿宋"/>
          <w:color w:val="auto"/>
          <w:sz w:val="24"/>
        </w:rPr>
      </w:pPr>
      <w:r>
        <w:rPr>
          <w:rFonts w:hint="eastAsia" w:ascii="仿宋" w:hAnsi="仿宋" w:eastAsia="仿宋" w:cs="仿宋"/>
          <w:color w:val="auto"/>
          <w:sz w:val="24"/>
        </w:rPr>
        <w:t>供应商名称（单位公章）：</w:t>
      </w:r>
    </w:p>
    <w:p>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日期：</w:t>
      </w:r>
    </w:p>
    <w:p>
      <w:pPr>
        <w:spacing w:line="360" w:lineRule="auto"/>
        <w:outlineLvl w:val="2"/>
        <w:rPr>
          <w:rFonts w:ascii="仿宋" w:hAnsi="仿宋" w:eastAsia="仿宋" w:cs="仿宋"/>
          <w:b/>
          <w:bCs/>
          <w:color w:val="auto"/>
          <w:spacing w:val="-2"/>
          <w:sz w:val="24"/>
        </w:rPr>
      </w:pPr>
      <w:r>
        <w:rPr>
          <w:rFonts w:hint="eastAsia" w:ascii="仿宋" w:hAnsi="仿宋" w:eastAsia="仿宋" w:cs="仿宋"/>
          <w:color w:val="auto"/>
          <w:sz w:val="24"/>
          <w:lang w:val="zh-CN"/>
        </w:rPr>
        <w:br w:type="page"/>
      </w:r>
      <w:bookmarkStart w:id="66" w:name="_Toc28757"/>
      <w:bookmarkStart w:id="67" w:name="_Toc28015"/>
      <w:r>
        <w:rPr>
          <w:rFonts w:hint="eastAsia" w:ascii="仿宋" w:hAnsi="仿宋" w:eastAsia="仿宋" w:cs="仿宋"/>
          <w:b/>
          <w:bCs/>
          <w:color w:val="auto"/>
          <w:sz w:val="24"/>
        </w:rPr>
        <w:t>格式1-5</w:t>
      </w:r>
      <w:r>
        <w:rPr>
          <w:rFonts w:hint="eastAsia" w:ascii="仿宋" w:hAnsi="仿宋" w:eastAsia="仿宋" w:cs="仿宋"/>
          <w:b/>
          <w:bCs/>
          <w:color w:val="auto"/>
          <w:spacing w:val="-2"/>
          <w:sz w:val="24"/>
        </w:rPr>
        <w:t>:供应商应提供的其他资格相关证明材料</w:t>
      </w:r>
    </w:p>
    <w:p>
      <w:pPr>
        <w:widowControl/>
        <w:spacing w:beforeLines="100" w:afterLines="100" w:line="360" w:lineRule="auto"/>
        <w:jc w:val="center"/>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供应商应提供的其他资格相关证明材料</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注：供应商应按采购文件第四章相关要求提供佐证材料，有格式要求的从其要求，无格式要求的格式自拟。</w:t>
      </w:r>
    </w:p>
    <w:bookmarkEnd w:id="66"/>
    <w:bookmarkEnd w:id="67"/>
    <w:p>
      <w:pPr>
        <w:snapToGrid w:val="0"/>
        <w:spacing w:line="360" w:lineRule="auto"/>
        <w:jc w:val="left"/>
        <w:rPr>
          <w:rFonts w:ascii="仿宋" w:hAnsi="仿宋" w:eastAsia="仿宋" w:cs="仿宋"/>
          <w:b/>
          <w:color w:val="auto"/>
          <w:sz w:val="36"/>
          <w:szCs w:val="36"/>
        </w:rPr>
      </w:pPr>
      <w:bookmarkStart w:id="68" w:name="_Toc14975"/>
      <w:bookmarkStart w:id="69" w:name="_Toc21416"/>
      <w:r>
        <w:rPr>
          <w:rFonts w:hint="eastAsia" w:ascii="仿宋" w:hAnsi="仿宋" w:eastAsia="仿宋" w:cs="仿宋"/>
          <w:b/>
          <w:color w:val="auto"/>
          <w:sz w:val="36"/>
          <w:szCs w:val="36"/>
        </w:rPr>
        <w:br w:type="page"/>
      </w:r>
    </w:p>
    <w:bookmarkEnd w:id="68"/>
    <w:bookmarkEnd w:id="69"/>
    <w:p>
      <w:pPr>
        <w:tabs>
          <w:tab w:val="left" w:leader="dot" w:pos="7380"/>
        </w:tabs>
        <w:snapToGrid w:val="0"/>
        <w:spacing w:line="324"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第二部分“其他响应文件”格式</w:t>
      </w:r>
    </w:p>
    <w:p>
      <w:pPr>
        <w:pStyle w:val="2"/>
        <w:rPr>
          <w:color w:val="auto"/>
        </w:rPr>
      </w:pPr>
    </w:p>
    <w:p>
      <w:pPr>
        <w:tabs>
          <w:tab w:val="left" w:leader="dot" w:pos="7380"/>
        </w:tabs>
        <w:snapToGrid w:val="0"/>
        <w:spacing w:line="324" w:lineRule="auto"/>
        <w:outlineLvl w:val="2"/>
        <w:rPr>
          <w:rFonts w:ascii="仿宋" w:hAnsi="仿宋" w:eastAsia="仿宋" w:cs="仿宋"/>
          <w:b/>
          <w:bCs/>
          <w:color w:val="auto"/>
          <w:sz w:val="24"/>
        </w:rPr>
      </w:pPr>
      <w:r>
        <w:rPr>
          <w:rFonts w:hint="eastAsia" w:ascii="仿宋" w:hAnsi="仿宋" w:eastAsia="仿宋" w:cs="仿宋"/>
          <w:b/>
          <w:color w:val="auto"/>
          <w:sz w:val="24"/>
        </w:rPr>
        <w:t>格式2-1</w:t>
      </w:r>
      <w:r>
        <w:rPr>
          <w:rFonts w:hint="eastAsia" w:ascii="仿宋" w:hAnsi="仿宋" w:cs="仿宋"/>
          <w:b/>
          <w:bCs/>
          <w:color w:val="auto"/>
          <w:sz w:val="24"/>
        </w:rPr>
        <w:t>:</w:t>
      </w:r>
      <w:r>
        <w:rPr>
          <w:rFonts w:hint="eastAsia" w:ascii="仿宋" w:hAnsi="仿宋" w:eastAsia="仿宋" w:cs="仿宋"/>
          <w:b/>
          <w:bCs/>
          <w:color w:val="auto"/>
          <w:sz w:val="24"/>
        </w:rPr>
        <w:t>其他响应文件封面</w:t>
      </w:r>
    </w:p>
    <w:p>
      <w:pPr>
        <w:pStyle w:val="2"/>
        <w:rPr>
          <w:rFonts w:ascii="仿宋" w:hAnsi="仿宋" w:eastAsia="仿宋" w:cs="仿宋"/>
          <w:b/>
          <w:color w:val="auto"/>
          <w:sz w:val="30"/>
          <w:szCs w:val="30"/>
        </w:rPr>
      </w:pPr>
    </w:p>
    <w:p>
      <w:pPr>
        <w:rPr>
          <w:rFonts w:ascii="仿宋" w:hAnsi="仿宋" w:eastAsia="仿宋" w:cs="仿宋"/>
          <w:color w:val="auto"/>
        </w:rPr>
      </w:pPr>
    </w:p>
    <w:p>
      <w:pPr>
        <w:tabs>
          <w:tab w:val="left" w:leader="dot" w:pos="7380"/>
        </w:tabs>
        <w:snapToGrid w:val="0"/>
        <w:spacing w:line="324" w:lineRule="auto"/>
        <w:jc w:val="left"/>
        <w:rPr>
          <w:rFonts w:ascii="仿宋" w:hAnsi="仿宋" w:eastAsia="仿宋" w:cs="仿宋"/>
          <w:b/>
          <w:bCs/>
          <w:color w:val="auto"/>
          <w:sz w:val="32"/>
          <w:szCs w:val="32"/>
        </w:rPr>
      </w:pPr>
      <w:r>
        <w:rPr>
          <w:rFonts w:ascii="仿宋" w:hAnsi="仿宋" w:eastAsia="仿宋" w:cs="仿宋"/>
          <w:b/>
          <w:bCs/>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26035</wp:posOffset>
                </wp:positionV>
                <wp:extent cx="1714500" cy="43815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4.5pt;width:135pt;z-index:251664384;mso-width-relative:page;mso-height-relative:page;" fillcolor="#FFFFFF" filled="t" stroked="t" coordsize="21600,21600" o:gfxdata="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jK41QAAAAgBAAAPAAAAAAAAAAEAIAAAACIAAABk&#10;cnMvZG93bnJldi54bWxQSwECFAAUAAAACACHTuJAgAHXpQkCAAA5BAAADgAAAAAAAAABACAAAAAk&#10;AQAAZHJzL2Uyb0RvYy54bWxQSwUGAAAAAAYABgBZAQAAnwUAAAAA&#10;">
                <v:fill on="t" focussize="0,0"/>
                <v:stroke color="#000000" joinstyle="miter"/>
                <v:imagedata o:title=""/>
                <o:lock v:ext="edit" aspectratio="f"/>
                <v:textbox>
                  <w:txbxContent>
                    <w:p>
                      <w:pPr>
                        <w:spacing w:line="360" w:lineRule="auto"/>
                        <w:jc w:val="center"/>
                        <w:rPr>
                          <w:b/>
                          <w:sz w:val="36"/>
                          <w:szCs w:val="36"/>
                        </w:rPr>
                      </w:pPr>
                      <w:r>
                        <w:rPr>
                          <w:rFonts w:hint="eastAsia"/>
                          <w:b/>
                          <w:sz w:val="36"/>
                          <w:szCs w:val="36"/>
                        </w:rPr>
                        <w:t>正本或副本</w:t>
                      </w:r>
                    </w:p>
                  </w:txbxContent>
                </v:textbox>
              </v:rect>
            </w:pict>
          </mc:Fallback>
        </mc:AlternateContent>
      </w:r>
    </w:p>
    <w:p>
      <w:pPr>
        <w:pStyle w:val="25"/>
        <w:tabs>
          <w:tab w:val="left" w:leader="dot" w:pos="7380"/>
        </w:tabs>
        <w:spacing w:before="100" w:beforeAutospacing="1" w:after="50" w:line="380" w:lineRule="exact"/>
        <w:rPr>
          <w:rFonts w:ascii="仿宋" w:hAnsi="仿宋" w:eastAsia="仿宋" w:cs="仿宋"/>
          <w:b/>
          <w:bCs/>
          <w:color w:val="auto"/>
          <w:sz w:val="32"/>
          <w:szCs w:val="32"/>
        </w:rPr>
      </w:pPr>
    </w:p>
    <w:p>
      <w:pPr>
        <w:tabs>
          <w:tab w:val="left" w:leader="dot" w:pos="7380"/>
        </w:tabs>
        <w:snapToGrid w:val="0"/>
        <w:jc w:val="center"/>
        <w:rPr>
          <w:rFonts w:ascii="仿宋" w:hAnsi="仿宋" w:eastAsia="仿宋" w:cs="仿宋"/>
          <w:b/>
          <w:bCs/>
          <w:color w:val="auto"/>
          <w:sz w:val="84"/>
          <w:szCs w:val="84"/>
        </w:rPr>
      </w:pPr>
    </w:p>
    <w:p>
      <w:pPr>
        <w:pStyle w:val="2"/>
        <w:rPr>
          <w:rFonts w:ascii="仿宋" w:hAnsi="仿宋" w:eastAsia="仿宋" w:cs="仿宋"/>
          <w:color w:val="auto"/>
        </w:rPr>
      </w:pPr>
    </w:p>
    <w:p>
      <w:pPr>
        <w:pStyle w:val="2"/>
        <w:rPr>
          <w:rFonts w:ascii="仿宋" w:hAnsi="仿宋" w:eastAsia="仿宋" w:cs="仿宋"/>
          <w:color w:val="auto"/>
        </w:rPr>
      </w:pPr>
    </w:p>
    <w:p>
      <w:pPr>
        <w:tabs>
          <w:tab w:val="left" w:leader="dot" w:pos="7380"/>
        </w:tabs>
        <w:snapToGrid w:val="0"/>
        <w:jc w:val="center"/>
        <w:rPr>
          <w:rFonts w:ascii="仿宋" w:hAnsi="仿宋" w:eastAsia="仿宋" w:cs="仿宋"/>
          <w:b/>
          <w:bCs/>
          <w:color w:val="auto"/>
          <w:sz w:val="84"/>
          <w:szCs w:val="84"/>
        </w:rPr>
      </w:pPr>
      <w:r>
        <w:rPr>
          <w:rFonts w:hint="eastAsia" w:ascii="仿宋" w:hAnsi="仿宋" w:eastAsia="仿宋" w:cs="仿宋"/>
          <w:b/>
          <w:bCs/>
          <w:color w:val="auto"/>
          <w:sz w:val="84"/>
          <w:szCs w:val="84"/>
        </w:rPr>
        <w:t>其他响应文件</w:t>
      </w: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项目名称：</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项目编号：</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pStyle w:val="2"/>
        <w:rPr>
          <w:rFonts w:ascii="仿宋" w:hAnsi="仿宋" w:eastAsia="仿宋" w:cs="仿宋"/>
          <w:color w:val="auto"/>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日 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pPr>
        <w:spacing w:line="480" w:lineRule="auto"/>
        <w:jc w:val="left"/>
        <w:rPr>
          <w:rFonts w:ascii="仿宋" w:hAnsi="仿宋" w:eastAsia="仿宋" w:cs="仿宋"/>
          <w:b/>
          <w:bCs/>
          <w:color w:val="auto"/>
          <w:sz w:val="24"/>
        </w:rPr>
      </w:pPr>
    </w:p>
    <w:p>
      <w:pPr>
        <w:spacing w:line="480" w:lineRule="auto"/>
        <w:jc w:val="left"/>
        <w:rPr>
          <w:rFonts w:ascii="仿宋" w:hAnsi="仿宋" w:eastAsia="仿宋" w:cs="仿宋"/>
          <w:b/>
          <w:bCs/>
          <w:color w:val="auto"/>
          <w:sz w:val="24"/>
        </w:rPr>
      </w:pPr>
    </w:p>
    <w:p>
      <w:pPr>
        <w:spacing w:before="100" w:beforeAutospacing="1" w:after="50" w:line="380" w:lineRule="exact"/>
        <w:rPr>
          <w:rFonts w:ascii="仿宋" w:hAnsi="仿宋" w:eastAsia="仿宋" w:cs="仿宋"/>
          <w:b/>
          <w:bCs/>
          <w:color w:val="auto"/>
          <w:sz w:val="24"/>
        </w:rPr>
      </w:pPr>
      <w:bookmarkStart w:id="70" w:name="_Toc31804"/>
      <w:bookmarkStart w:id="71" w:name="_Toc4383"/>
      <w:r>
        <w:rPr>
          <w:rFonts w:hint="eastAsia" w:ascii="仿宋" w:hAnsi="仿宋" w:eastAsia="仿宋" w:cs="仿宋"/>
          <w:b/>
          <w:bCs/>
          <w:color w:val="auto"/>
          <w:sz w:val="24"/>
        </w:rPr>
        <w:br w:type="page"/>
      </w:r>
    </w:p>
    <w:bookmarkEnd w:id="70"/>
    <w:bookmarkEnd w:id="71"/>
    <w:p>
      <w:pPr>
        <w:pStyle w:val="7"/>
        <w:rPr>
          <w:rStyle w:val="78"/>
          <w:rFonts w:ascii="仿宋" w:hAnsi="仿宋" w:eastAsia="仿宋" w:cs="仿宋"/>
          <w:b/>
          <w:color w:val="auto"/>
          <w:sz w:val="32"/>
          <w:szCs w:val="32"/>
        </w:rPr>
      </w:pPr>
      <w:bookmarkStart w:id="72" w:name="_Toc28170"/>
      <w:bookmarkStart w:id="73" w:name="_Toc4608"/>
      <w:bookmarkStart w:id="74" w:name="_Toc21273"/>
      <w:r>
        <w:rPr>
          <w:rStyle w:val="118"/>
          <w:rFonts w:hint="eastAsia" w:ascii="仿宋" w:hAnsi="仿宋" w:cs="仿宋"/>
          <w:b/>
          <w:color w:val="auto"/>
          <w:szCs w:val="24"/>
        </w:rPr>
        <w:t>格式2-2</w:t>
      </w:r>
      <w:r>
        <w:rPr>
          <w:rFonts w:hint="eastAsia" w:ascii="仿宋" w:hAnsi="仿宋" w:cs="仿宋"/>
          <w:color w:val="auto"/>
          <w:sz w:val="24"/>
          <w:szCs w:val="24"/>
        </w:rPr>
        <w:t>:</w:t>
      </w:r>
      <w:r>
        <w:rPr>
          <w:rStyle w:val="118"/>
          <w:rFonts w:hint="eastAsia" w:ascii="仿宋" w:hAnsi="仿宋" w:cs="仿宋"/>
          <w:b/>
          <w:color w:val="auto"/>
          <w:szCs w:val="24"/>
        </w:rPr>
        <w:t>技术服务应答表</w:t>
      </w:r>
    </w:p>
    <w:p>
      <w:pPr>
        <w:spacing w:line="360" w:lineRule="auto"/>
        <w:jc w:val="center"/>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技术服务应答表</w:t>
      </w:r>
    </w:p>
    <w:p>
      <w:pPr>
        <w:pStyle w:val="2"/>
        <w:rPr>
          <w:color w:val="auto"/>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pPr>
        <w:pStyle w:val="22"/>
        <w:pBdr>
          <w:bottom w:val="none" w:color="auto" w:sz="0" w:space="0"/>
        </w:pBdr>
        <w:tabs>
          <w:tab w:val="clear" w:pos="4153"/>
          <w:tab w:val="clear" w:pos="8306"/>
        </w:tabs>
        <w:spacing w:line="360" w:lineRule="auto"/>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60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3407"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谈判文件的质量、技术和服务要求（详见谈判文件第五章）</w:t>
            </w:r>
          </w:p>
        </w:tc>
        <w:tc>
          <w:tcPr>
            <w:tcW w:w="2557"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供应商对谈判文件的质量、技术和服务要求响应情况</w:t>
            </w:r>
          </w:p>
        </w:tc>
        <w:tc>
          <w:tcPr>
            <w:tcW w:w="1267"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应答说明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ind w:left="317" w:hanging="316" w:hangingChars="132"/>
              <w:jc w:val="center"/>
              <w:rPr>
                <w:rFonts w:ascii="仿宋" w:hAnsi="仿宋" w:eastAsia="仿宋" w:cs="仿宋"/>
                <w:color w:val="auto"/>
                <w:sz w:val="24"/>
              </w:rPr>
            </w:pPr>
          </w:p>
        </w:tc>
        <w:tc>
          <w:tcPr>
            <w:tcW w:w="1267" w:type="dxa"/>
            <w:vAlign w:val="center"/>
          </w:tcPr>
          <w:p>
            <w:pPr>
              <w:keepNext w:val="0"/>
              <w:snapToGrid w:val="0"/>
              <w:spacing w:line="360" w:lineRule="auto"/>
              <w:ind w:left="318" w:hanging="318" w:hangingChars="132"/>
              <w:jc w:val="center"/>
              <w:outlineLvl w:val="9"/>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注：1.供应商须把谈判文件的第五章“</w:t>
      </w:r>
      <w:r>
        <w:rPr>
          <w:rFonts w:hint="eastAsia" w:ascii="仿宋" w:hAnsi="仿宋" w:eastAsia="仿宋" w:cs="仿宋"/>
          <w:b/>
          <w:bCs/>
          <w:color w:val="auto"/>
          <w:sz w:val="24"/>
        </w:rPr>
        <w:t>采购标的、服务内容及要求、</w:t>
      </w:r>
      <w:r>
        <w:rPr>
          <w:rFonts w:hint="eastAsia" w:ascii="仿宋" w:hAnsi="仿宋" w:eastAsia="仿宋" w:cs="仿宋"/>
          <w:b/>
          <w:color w:val="auto"/>
          <w:sz w:val="24"/>
        </w:rPr>
        <w:t>维护保养细则、维保配置与应急处理、运行管理巡查规范、考核办法、其他要求</w:t>
      </w:r>
      <w:r>
        <w:rPr>
          <w:rFonts w:hint="eastAsia" w:ascii="仿宋" w:hAnsi="仿宋" w:eastAsia="仿宋" w:cs="仿宋"/>
          <w:bCs/>
          <w:color w:val="auto"/>
          <w:sz w:val="24"/>
        </w:rPr>
        <w:t>”全部事项列入此表。</w:t>
      </w:r>
    </w:p>
    <w:p>
      <w:pPr>
        <w:snapToGrid w:val="0"/>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2.按照谈判文件服务要求的顺序对应填写。</w:t>
      </w:r>
    </w:p>
    <w:p>
      <w:pPr>
        <w:snapToGrid w:val="0"/>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3.供应商必须据实填写，不得虚假填写，否则将取消其谈判或成交资格。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供应商名称（盖章）：</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Style w:val="118"/>
          <w:rFonts w:ascii="仿宋" w:hAnsi="仿宋" w:cs="仿宋"/>
          <w:color w:val="auto"/>
        </w:rPr>
      </w:pPr>
      <w:r>
        <w:rPr>
          <w:rStyle w:val="118"/>
          <w:rFonts w:ascii="仿宋" w:hAnsi="仿宋" w:cs="仿宋"/>
          <w:color w:val="auto"/>
        </w:rPr>
        <w:br w:type="page"/>
      </w:r>
    </w:p>
    <w:p>
      <w:pPr>
        <w:pStyle w:val="7"/>
        <w:rPr>
          <w:rFonts w:ascii="仿宋" w:hAnsi="仿宋" w:eastAsia="仿宋" w:cs="仿宋"/>
          <w:color w:val="auto"/>
        </w:rPr>
      </w:pPr>
      <w:bookmarkStart w:id="75" w:name="_Toc11475"/>
      <w:bookmarkStart w:id="76" w:name="_Toc32720"/>
      <w:bookmarkStart w:id="77" w:name="_Toc2644"/>
      <w:bookmarkStart w:id="78" w:name="_Toc10055"/>
      <w:bookmarkStart w:id="79" w:name="_Toc13871"/>
      <w:bookmarkStart w:id="80" w:name="_Toc14958"/>
      <w:bookmarkStart w:id="81" w:name="_Toc5274"/>
      <w:bookmarkStart w:id="82" w:name="_Toc9203"/>
      <w:bookmarkStart w:id="83" w:name="_Toc28456"/>
      <w:bookmarkStart w:id="84" w:name="_Toc29373"/>
      <w:bookmarkStart w:id="85" w:name="_Toc16062"/>
      <w:r>
        <w:rPr>
          <w:rStyle w:val="118"/>
          <w:rFonts w:ascii="仿宋" w:hAnsi="仿宋" w:cs="仿宋"/>
          <w:b/>
          <w:color w:val="auto"/>
          <w:szCs w:val="24"/>
        </w:rPr>
        <w:t>格式</w:t>
      </w:r>
      <w:bookmarkEnd w:id="75"/>
      <w:r>
        <w:rPr>
          <w:rStyle w:val="118"/>
          <w:rFonts w:hint="eastAsia" w:ascii="仿宋" w:hAnsi="仿宋" w:cs="仿宋"/>
          <w:b/>
          <w:color w:val="auto"/>
          <w:szCs w:val="24"/>
        </w:rPr>
        <w:t>2-3</w:t>
      </w:r>
      <w:r>
        <w:rPr>
          <w:rFonts w:hint="eastAsia" w:ascii="仿宋" w:hAnsi="仿宋" w:cs="仿宋"/>
          <w:color w:val="auto"/>
          <w:sz w:val="24"/>
          <w:szCs w:val="24"/>
        </w:rPr>
        <w:t>:</w:t>
      </w:r>
      <w:bookmarkEnd w:id="76"/>
      <w:bookmarkEnd w:id="77"/>
      <w:bookmarkEnd w:id="78"/>
      <w:bookmarkEnd w:id="79"/>
      <w:bookmarkEnd w:id="80"/>
      <w:bookmarkEnd w:id="81"/>
      <w:bookmarkEnd w:id="82"/>
      <w:bookmarkEnd w:id="83"/>
      <w:bookmarkEnd w:id="84"/>
      <w:bookmarkEnd w:id="85"/>
      <w:r>
        <w:rPr>
          <w:rFonts w:hint="eastAsia" w:ascii="仿宋" w:hAnsi="仿宋" w:eastAsia="仿宋" w:cs="仿宋"/>
          <w:color w:val="auto"/>
          <w:spacing w:val="-2"/>
          <w:sz w:val="24"/>
          <w:szCs w:val="24"/>
        </w:rPr>
        <w:t>商务服务应答表</w:t>
      </w:r>
    </w:p>
    <w:p>
      <w:pPr>
        <w:jc w:val="center"/>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商务服务应答表</w:t>
      </w:r>
    </w:p>
    <w:p>
      <w:pPr>
        <w:pStyle w:val="2"/>
        <w:jc w:val="center"/>
        <w:rPr>
          <w:color w:val="auto"/>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pStyle w:val="22"/>
        <w:pBdr>
          <w:bottom w:val="none" w:color="auto" w:sz="0" w:space="0"/>
        </w:pBdr>
        <w:tabs>
          <w:tab w:val="clear" w:pos="4153"/>
          <w:tab w:val="clear" w:pos="8306"/>
        </w:tabs>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211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288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谈判文件的商务条款</w:t>
            </w:r>
          </w:p>
          <w:p>
            <w:pPr>
              <w:snapToGrid w:val="0"/>
              <w:jc w:val="center"/>
              <w:rPr>
                <w:rFonts w:ascii="仿宋" w:hAnsi="仿宋" w:eastAsia="仿宋" w:cs="仿宋"/>
                <w:color w:val="auto"/>
                <w:sz w:val="24"/>
              </w:rPr>
            </w:pPr>
            <w:r>
              <w:rPr>
                <w:rFonts w:hint="eastAsia" w:ascii="仿宋" w:hAnsi="仿宋" w:eastAsia="仿宋" w:cs="仿宋"/>
                <w:color w:val="auto"/>
                <w:sz w:val="24"/>
              </w:rPr>
              <w:t>（详见谈判文件第五章）</w:t>
            </w:r>
          </w:p>
        </w:tc>
        <w:tc>
          <w:tcPr>
            <w:tcW w:w="24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供应商对谈判文件的商务条款响应情况</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ind w:left="317" w:hanging="316" w:hangingChars="132"/>
              <w:jc w:val="center"/>
              <w:rPr>
                <w:rFonts w:ascii="仿宋" w:hAnsi="仿宋" w:eastAsia="仿宋" w:cs="仿宋"/>
                <w:color w:val="auto"/>
                <w:sz w:val="24"/>
              </w:rPr>
            </w:pPr>
          </w:p>
        </w:tc>
        <w:tc>
          <w:tcPr>
            <w:tcW w:w="1311" w:type="dxa"/>
            <w:vAlign w:val="center"/>
          </w:tcPr>
          <w:p>
            <w:pPr>
              <w:keepNext w:val="0"/>
              <w:snapToGrid w:val="0"/>
              <w:spacing w:line="360" w:lineRule="auto"/>
              <w:ind w:left="318" w:hanging="318" w:hangingChars="132"/>
              <w:jc w:val="center"/>
              <w:outlineLvl w:val="9"/>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bCs/>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注：1.供应商必须把谈判文件的第五章“</w:t>
      </w:r>
      <w:r>
        <w:rPr>
          <w:rFonts w:hint="eastAsia" w:ascii="仿宋" w:hAnsi="仿宋" w:eastAsia="仿宋" w:cs="仿宋"/>
          <w:b/>
          <w:bCs/>
          <w:color w:val="auto"/>
          <w:sz w:val="24"/>
        </w:rPr>
        <w:t>商务要求</w:t>
      </w:r>
      <w:r>
        <w:rPr>
          <w:rFonts w:hint="eastAsia" w:ascii="仿宋" w:hAnsi="仿宋" w:eastAsia="仿宋" w:cs="仿宋"/>
          <w:bCs/>
          <w:color w:val="auto"/>
          <w:sz w:val="24"/>
        </w:rPr>
        <w:t>”全部事项列入此表。</w:t>
      </w:r>
    </w:p>
    <w:p>
      <w:pPr>
        <w:snapToGrid w:val="0"/>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2.按照谈判文件商务要求的顺序对应填写。</w:t>
      </w:r>
    </w:p>
    <w:p>
      <w:pPr>
        <w:snapToGrid w:val="0"/>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3.供应商必须据实填写，不得虚假填写，否则将取消其谈判或成交资格。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Fonts w:ascii="仿宋" w:hAnsi="仿宋" w:eastAsia="仿宋" w:cs="仿宋"/>
          <w:b/>
          <w:bCs/>
          <w:color w:val="auto"/>
          <w:sz w:val="24"/>
        </w:rPr>
      </w:pPr>
      <w:r>
        <w:rPr>
          <w:rFonts w:hint="eastAsia" w:ascii="仿宋" w:hAnsi="仿宋" w:eastAsia="仿宋" w:cs="仿宋"/>
          <w:b/>
          <w:bCs/>
          <w:color w:val="auto"/>
          <w:sz w:val="24"/>
        </w:rPr>
        <w:br w:type="page"/>
      </w:r>
    </w:p>
    <w:p>
      <w:pPr>
        <w:pStyle w:val="7"/>
        <w:jc w:val="both"/>
        <w:rPr>
          <w:rFonts w:ascii="仿宋" w:hAnsi="仿宋" w:eastAsia="仿宋" w:cs="仿宋"/>
          <w:color w:val="auto"/>
          <w:sz w:val="36"/>
          <w:szCs w:val="36"/>
        </w:rPr>
      </w:pPr>
      <w:r>
        <w:rPr>
          <w:rFonts w:hint="eastAsia" w:ascii="仿宋" w:hAnsi="仿宋" w:eastAsia="仿宋" w:cs="仿宋"/>
          <w:color w:val="auto"/>
          <w:sz w:val="24"/>
          <w:szCs w:val="24"/>
        </w:rPr>
        <w:t>格式</w:t>
      </w:r>
      <w:r>
        <w:rPr>
          <w:rFonts w:hint="eastAsia" w:ascii="仿宋" w:hAnsi="仿宋" w:cs="仿宋"/>
          <w:color w:val="auto"/>
          <w:sz w:val="24"/>
          <w:szCs w:val="24"/>
        </w:rPr>
        <w:t>2-4:</w:t>
      </w:r>
      <w:r>
        <w:rPr>
          <w:rFonts w:hint="eastAsia" w:ascii="仿宋" w:hAnsi="仿宋" w:eastAsia="仿宋" w:cs="仿宋"/>
          <w:color w:val="auto"/>
          <w:spacing w:val="-2"/>
          <w:sz w:val="24"/>
          <w:szCs w:val="24"/>
        </w:rPr>
        <w:t>拟派入本项目的主要实施人员情况表</w:t>
      </w:r>
    </w:p>
    <w:p>
      <w:pPr>
        <w:jc w:val="center"/>
        <w:rPr>
          <w:rFonts w:ascii="仿宋" w:hAnsi="仿宋" w:eastAsia="仿宋" w:cs="仿宋"/>
          <w:b/>
          <w:bCs/>
          <w:color w:val="auto"/>
          <w:sz w:val="36"/>
          <w:szCs w:val="36"/>
        </w:rPr>
      </w:pPr>
      <w:r>
        <w:rPr>
          <w:rFonts w:hint="eastAsia" w:ascii="仿宋" w:hAnsi="仿宋" w:eastAsia="仿宋" w:cs="仿宋"/>
          <w:b/>
          <w:bCs/>
          <w:color w:val="auto"/>
          <w:sz w:val="36"/>
          <w:szCs w:val="36"/>
        </w:rPr>
        <w:t>拟派入本项目的主要实施人员情况表</w:t>
      </w:r>
    </w:p>
    <w:p>
      <w:pPr>
        <w:pStyle w:val="2"/>
        <w:jc w:val="center"/>
        <w:rPr>
          <w:rFonts w:ascii="仿宋" w:hAnsi="仿宋" w:eastAsia="仿宋" w:cs="仿宋"/>
          <w:b/>
          <w:color w:val="auto"/>
          <w:sz w:val="36"/>
          <w:szCs w:val="36"/>
        </w:rPr>
      </w:pPr>
    </w:p>
    <w:p>
      <w:pPr>
        <w:jc w:val="center"/>
        <w:rPr>
          <w:color w:val="auto"/>
        </w:rPr>
      </w:pPr>
    </w:p>
    <w:tbl>
      <w:tblPr>
        <w:tblStyle w:val="2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noWrap/>
            <w:vAlign w:val="center"/>
          </w:tcPr>
          <w:p>
            <w:pPr>
              <w:ind w:firstLine="480" w:firstLineChars="200"/>
              <w:jc w:val="center"/>
              <w:rPr>
                <w:rFonts w:ascii="仿宋" w:hAnsi="仿宋" w:eastAsia="仿宋" w:cs="仿宋"/>
                <w:color w:val="auto"/>
                <w:sz w:val="24"/>
              </w:rPr>
            </w:pPr>
            <w:r>
              <w:rPr>
                <w:rFonts w:hint="eastAsia" w:ascii="仿宋" w:hAnsi="仿宋" w:eastAsia="仿宋" w:cs="仿宋"/>
                <w:color w:val="auto"/>
                <w:sz w:val="24"/>
              </w:rPr>
              <w:t>项目管理机构组成表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noWrap/>
            <w:vAlign w:val="center"/>
          </w:tcPr>
          <w:p>
            <w:pPr>
              <w:jc w:val="center"/>
              <w:rPr>
                <w:rFonts w:ascii="仿宋" w:hAnsi="仿宋" w:eastAsia="仿宋" w:cs="仿宋"/>
                <w:color w:val="auto"/>
                <w:sz w:val="24"/>
              </w:rPr>
            </w:pPr>
            <w:r>
              <w:rPr>
                <w:rFonts w:hint="eastAsia" w:ascii="仿宋" w:hAnsi="仿宋" w:eastAsia="仿宋" w:cs="仿宋"/>
                <w:color w:val="auto"/>
                <w:sz w:val="24"/>
              </w:rPr>
              <w:t>职务</w:t>
            </w:r>
          </w:p>
        </w:tc>
        <w:tc>
          <w:tcPr>
            <w:tcW w:w="1053" w:type="dxa"/>
            <w:vMerge w:val="restart"/>
            <w:noWrap/>
            <w:vAlign w:val="center"/>
          </w:tcPr>
          <w:p>
            <w:pPr>
              <w:jc w:val="center"/>
              <w:rPr>
                <w:rFonts w:ascii="仿宋" w:hAnsi="仿宋" w:eastAsia="仿宋" w:cs="仿宋"/>
                <w:color w:val="auto"/>
                <w:sz w:val="24"/>
              </w:rPr>
            </w:pPr>
            <w:r>
              <w:rPr>
                <w:rFonts w:hint="eastAsia" w:ascii="仿宋" w:hAnsi="仿宋" w:eastAsia="仿宋" w:cs="仿宋"/>
                <w:color w:val="auto"/>
                <w:sz w:val="24"/>
              </w:rPr>
              <w:t>姓名</w:t>
            </w:r>
          </w:p>
        </w:tc>
        <w:tc>
          <w:tcPr>
            <w:tcW w:w="1155" w:type="dxa"/>
            <w:vMerge w:val="restart"/>
            <w:noWrap/>
            <w:vAlign w:val="center"/>
          </w:tcPr>
          <w:p>
            <w:pPr>
              <w:jc w:val="center"/>
              <w:rPr>
                <w:rFonts w:ascii="仿宋" w:hAnsi="仿宋" w:eastAsia="仿宋" w:cs="仿宋"/>
                <w:color w:val="auto"/>
                <w:sz w:val="24"/>
              </w:rPr>
            </w:pPr>
            <w:r>
              <w:rPr>
                <w:rFonts w:hint="eastAsia" w:ascii="仿宋" w:hAnsi="仿宋" w:eastAsia="仿宋" w:cs="仿宋"/>
                <w:color w:val="auto"/>
                <w:sz w:val="24"/>
              </w:rPr>
              <w:t>职称</w:t>
            </w:r>
          </w:p>
        </w:tc>
        <w:tc>
          <w:tcPr>
            <w:tcW w:w="5988" w:type="dxa"/>
            <w:gridSpan w:val="5"/>
            <w:noWrap/>
            <w:vAlign w:val="center"/>
          </w:tcPr>
          <w:p>
            <w:pPr>
              <w:jc w:val="center"/>
              <w:rPr>
                <w:rFonts w:ascii="仿宋" w:hAnsi="仿宋" w:eastAsia="仿宋" w:cs="仿宋"/>
                <w:color w:val="auto"/>
                <w:sz w:val="24"/>
              </w:rPr>
            </w:pPr>
            <w:r>
              <w:rPr>
                <w:rFonts w:hint="eastAsia" w:ascii="仿宋" w:hAnsi="仿宋" w:eastAsia="仿宋" w:cs="仿宋"/>
                <w:color w:val="auto"/>
                <w:sz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noWrap/>
            <w:vAlign w:val="center"/>
          </w:tcPr>
          <w:p>
            <w:pPr>
              <w:ind w:firstLine="480" w:firstLineChars="200"/>
              <w:jc w:val="center"/>
              <w:rPr>
                <w:rFonts w:ascii="仿宋" w:hAnsi="仿宋" w:eastAsia="仿宋" w:cs="仿宋"/>
                <w:color w:val="auto"/>
                <w:sz w:val="24"/>
              </w:rPr>
            </w:pPr>
          </w:p>
        </w:tc>
        <w:tc>
          <w:tcPr>
            <w:tcW w:w="1053" w:type="dxa"/>
            <w:vMerge w:val="continue"/>
            <w:noWrap/>
            <w:vAlign w:val="center"/>
          </w:tcPr>
          <w:p>
            <w:pPr>
              <w:ind w:firstLine="480" w:firstLineChars="200"/>
              <w:jc w:val="center"/>
              <w:rPr>
                <w:rFonts w:ascii="仿宋" w:hAnsi="仿宋" w:eastAsia="仿宋" w:cs="仿宋"/>
                <w:color w:val="auto"/>
                <w:sz w:val="24"/>
              </w:rPr>
            </w:pPr>
          </w:p>
        </w:tc>
        <w:tc>
          <w:tcPr>
            <w:tcW w:w="1155" w:type="dxa"/>
            <w:vMerge w:val="continue"/>
            <w:noWrap/>
            <w:vAlign w:val="center"/>
          </w:tcPr>
          <w:p>
            <w:pPr>
              <w:ind w:firstLine="480" w:firstLineChars="200"/>
              <w:jc w:val="center"/>
              <w:rPr>
                <w:rFonts w:ascii="仿宋" w:hAnsi="仿宋" w:eastAsia="仿宋" w:cs="仿宋"/>
                <w:color w:val="auto"/>
                <w:sz w:val="24"/>
              </w:rPr>
            </w:pPr>
          </w:p>
        </w:tc>
        <w:tc>
          <w:tcPr>
            <w:tcW w:w="115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证书名称</w:t>
            </w:r>
          </w:p>
        </w:tc>
        <w:tc>
          <w:tcPr>
            <w:tcW w:w="944"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级别</w:t>
            </w:r>
          </w:p>
        </w:tc>
        <w:tc>
          <w:tcPr>
            <w:tcW w:w="1684"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证号</w:t>
            </w:r>
          </w:p>
        </w:tc>
        <w:tc>
          <w:tcPr>
            <w:tcW w:w="1359"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专业</w:t>
            </w:r>
          </w:p>
        </w:tc>
        <w:tc>
          <w:tcPr>
            <w:tcW w:w="846"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1053"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1155" w:type="dxa"/>
            <w:noWrap/>
            <w:vAlign w:val="center"/>
          </w:tcPr>
          <w:p>
            <w:pPr>
              <w:ind w:firstLine="480" w:firstLineChars="200"/>
              <w:jc w:val="center"/>
              <w:rPr>
                <w:rFonts w:ascii="仿宋" w:hAnsi="仿宋" w:eastAsia="仿宋" w:cs="仿宋"/>
                <w:color w:val="auto"/>
                <w:sz w:val="24"/>
              </w:rPr>
            </w:pPr>
          </w:p>
        </w:tc>
        <w:tc>
          <w:tcPr>
            <w:tcW w:w="944" w:type="dxa"/>
            <w:noWrap/>
            <w:vAlign w:val="center"/>
          </w:tcPr>
          <w:p>
            <w:pPr>
              <w:ind w:firstLine="480" w:firstLineChars="200"/>
              <w:jc w:val="center"/>
              <w:rPr>
                <w:rFonts w:ascii="仿宋" w:hAnsi="仿宋" w:eastAsia="仿宋" w:cs="仿宋"/>
                <w:color w:val="auto"/>
                <w:sz w:val="24"/>
              </w:rPr>
            </w:pPr>
          </w:p>
        </w:tc>
        <w:tc>
          <w:tcPr>
            <w:tcW w:w="1684" w:type="dxa"/>
            <w:noWrap/>
            <w:vAlign w:val="center"/>
          </w:tcPr>
          <w:p>
            <w:pPr>
              <w:ind w:firstLine="480" w:firstLineChars="200"/>
              <w:jc w:val="center"/>
              <w:rPr>
                <w:rFonts w:ascii="仿宋" w:hAnsi="仿宋" w:eastAsia="仿宋" w:cs="仿宋"/>
                <w:color w:val="auto"/>
                <w:sz w:val="24"/>
              </w:rPr>
            </w:pPr>
          </w:p>
        </w:tc>
        <w:tc>
          <w:tcPr>
            <w:tcW w:w="1359" w:type="dxa"/>
            <w:noWrap/>
            <w:vAlign w:val="center"/>
          </w:tcPr>
          <w:p>
            <w:pPr>
              <w:ind w:firstLine="480" w:firstLineChars="200"/>
              <w:jc w:val="center"/>
              <w:rPr>
                <w:rFonts w:ascii="仿宋" w:hAnsi="仿宋" w:eastAsia="仿宋" w:cs="仿宋"/>
                <w:color w:val="auto"/>
                <w:sz w:val="24"/>
              </w:rPr>
            </w:pPr>
          </w:p>
        </w:tc>
        <w:tc>
          <w:tcPr>
            <w:tcW w:w="846" w:type="dxa"/>
            <w:noWrap/>
            <w:vAlign w:val="center"/>
          </w:tcPr>
          <w:p>
            <w:pPr>
              <w:ind w:firstLine="480" w:firstLineChars="200"/>
              <w:jc w:val="center"/>
              <w:rPr>
                <w:rFonts w:ascii="仿宋" w:hAnsi="仿宋" w:eastAsia="仿宋" w:cs="仿宋"/>
                <w:color w:val="auto"/>
                <w:sz w:val="24"/>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影印件附在表后。</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bookmarkStart w:id="86" w:name="_Toc22168"/>
      <w:bookmarkStart w:id="87" w:name="_Toc7155"/>
      <w:bookmarkStart w:id="88" w:name="_Toc9098_WPSOffice_Level2"/>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pStyle w:val="25"/>
        <w:spacing w:before="0" w:after="0" w:line="360" w:lineRule="auto"/>
        <w:ind w:firstLine="480" w:firstLineChars="200"/>
        <w:rPr>
          <w:rFonts w:ascii="仿宋" w:hAnsi="仿宋" w:eastAsia="仿宋" w:cs="仿宋"/>
          <w:color w:val="auto"/>
          <w:kern w:val="2"/>
        </w:rPr>
      </w:pPr>
      <w:r>
        <w:rPr>
          <w:rFonts w:hint="eastAsia" w:ascii="仿宋" w:hAnsi="仿宋" w:eastAsia="仿宋" w:cs="仿宋"/>
          <w:bCs/>
          <w:color w:val="auto"/>
        </w:rPr>
        <w:t>日   期:</w:t>
      </w:r>
    </w:p>
    <w:p>
      <w:pPr>
        <w:rPr>
          <w:rFonts w:ascii="仿宋" w:hAnsi="仿宋" w:eastAsia="仿宋" w:cs="仿宋"/>
          <w:color w:val="auto"/>
        </w:rPr>
      </w:pPr>
      <w:r>
        <w:rPr>
          <w:rFonts w:hint="eastAsia" w:ascii="仿宋" w:hAnsi="仿宋" w:eastAsia="仿宋" w:cs="仿宋"/>
          <w:color w:val="auto"/>
        </w:rPr>
        <w:br w:type="page"/>
      </w:r>
    </w:p>
    <w:bookmarkEnd w:id="86"/>
    <w:bookmarkEnd w:id="87"/>
    <w:bookmarkEnd w:id="88"/>
    <w:p>
      <w:pPr>
        <w:outlineLvl w:val="2"/>
        <w:rPr>
          <w:rFonts w:ascii="仿宋" w:hAnsi="仿宋" w:eastAsia="仿宋" w:cs="仿宋"/>
          <w:b/>
          <w:bCs/>
          <w:color w:val="auto"/>
          <w:spacing w:val="-2"/>
          <w:kern w:val="0"/>
          <w:sz w:val="24"/>
        </w:rPr>
      </w:pPr>
      <w:bookmarkStart w:id="89" w:name="_Toc5095"/>
      <w:bookmarkStart w:id="90" w:name="_Toc18047"/>
      <w:bookmarkStart w:id="91" w:name="_Toc27414"/>
      <w:bookmarkStart w:id="92" w:name="_Toc10907_WPSOffice_Level2"/>
      <w:bookmarkStart w:id="93" w:name="_Toc226877196"/>
      <w:bookmarkStart w:id="94" w:name="_Toc22748"/>
      <w:bookmarkStart w:id="95" w:name="_Toc32510"/>
      <w:bookmarkStart w:id="96" w:name="_Toc32367"/>
      <w:bookmarkStart w:id="97" w:name="_Toc32408"/>
      <w:bookmarkStart w:id="98" w:name="_Toc1227"/>
      <w:bookmarkStart w:id="99" w:name="_Toc23168"/>
      <w:bookmarkStart w:id="100" w:name="_Toc12168"/>
      <w:bookmarkStart w:id="101" w:name="_Toc3253"/>
      <w:r>
        <w:rPr>
          <w:rFonts w:hint="eastAsia" w:ascii="仿宋" w:hAnsi="仿宋" w:eastAsia="仿宋" w:cs="仿宋"/>
          <w:b/>
          <w:bCs/>
          <w:color w:val="auto"/>
          <w:spacing w:val="-2"/>
          <w:kern w:val="0"/>
          <w:sz w:val="24"/>
        </w:rPr>
        <w:t>格式2-5</w:t>
      </w:r>
      <w:r>
        <w:rPr>
          <w:rFonts w:hint="eastAsia" w:ascii="仿宋" w:hAnsi="仿宋" w:cs="仿宋"/>
          <w:b/>
          <w:bCs/>
          <w:color w:val="auto"/>
          <w:sz w:val="24"/>
        </w:rPr>
        <w:t>:</w:t>
      </w:r>
      <w:r>
        <w:rPr>
          <w:rFonts w:hint="eastAsia" w:ascii="仿宋" w:hAnsi="仿宋" w:eastAsia="仿宋" w:cs="仿宋"/>
          <w:b/>
          <w:bCs/>
          <w:color w:val="auto"/>
          <w:spacing w:val="-2"/>
          <w:kern w:val="0"/>
          <w:sz w:val="24"/>
        </w:rPr>
        <w:t>项目实施方案</w:t>
      </w:r>
    </w:p>
    <w:p>
      <w:pPr>
        <w:snapToGrid w:val="0"/>
        <w:spacing w:line="360" w:lineRule="auto"/>
        <w:ind w:firstLine="474" w:firstLineChars="200"/>
        <w:rPr>
          <w:rFonts w:ascii="仿宋" w:hAnsi="仿宋" w:eastAsia="仿宋" w:cs="仿宋"/>
          <w:b/>
          <w:bCs/>
          <w:color w:val="auto"/>
          <w:spacing w:val="-2"/>
          <w:kern w:val="0"/>
          <w:sz w:val="24"/>
        </w:rPr>
      </w:pPr>
    </w:p>
    <w:p>
      <w:pPr>
        <w:jc w:val="center"/>
        <w:rPr>
          <w:rFonts w:ascii="仿宋" w:hAnsi="仿宋" w:eastAsia="仿宋" w:cs="仿宋"/>
          <w:color w:val="auto"/>
          <w:spacing w:val="-2"/>
          <w:sz w:val="36"/>
          <w:szCs w:val="36"/>
        </w:rPr>
      </w:pPr>
      <w:r>
        <w:rPr>
          <w:rFonts w:hint="eastAsia" w:ascii="仿宋" w:hAnsi="仿宋" w:eastAsia="仿宋" w:cs="仿宋"/>
          <w:b/>
          <w:bCs/>
          <w:color w:val="auto"/>
          <w:sz w:val="36"/>
          <w:szCs w:val="36"/>
        </w:rPr>
        <w:t>项目实施方案</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项目编号：</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（由供应商自行编写，格式不限）</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日    期:</w:t>
      </w:r>
    </w:p>
    <w:p>
      <w:pPr>
        <w:rPr>
          <w:rFonts w:ascii="仿宋" w:hAnsi="仿宋" w:eastAsia="仿宋" w:cs="仿宋"/>
          <w:bCs/>
          <w:color w:val="auto"/>
        </w:rPr>
      </w:pPr>
      <w:r>
        <w:rPr>
          <w:rFonts w:hint="eastAsia" w:ascii="仿宋" w:hAnsi="仿宋" w:eastAsia="仿宋" w:cs="仿宋"/>
          <w:bCs/>
          <w:color w:val="auto"/>
        </w:rPr>
        <w:br w:type="page"/>
      </w:r>
    </w:p>
    <w:bookmarkEnd w:id="89"/>
    <w:bookmarkEnd w:id="90"/>
    <w:bookmarkEnd w:id="91"/>
    <w:bookmarkEnd w:id="92"/>
    <w:bookmarkEnd w:id="93"/>
    <w:bookmarkEnd w:id="94"/>
    <w:bookmarkEnd w:id="95"/>
    <w:bookmarkEnd w:id="96"/>
    <w:bookmarkEnd w:id="97"/>
    <w:bookmarkEnd w:id="98"/>
    <w:bookmarkEnd w:id="99"/>
    <w:bookmarkEnd w:id="100"/>
    <w:bookmarkEnd w:id="101"/>
    <w:p>
      <w:pPr>
        <w:pStyle w:val="2"/>
        <w:spacing w:line="480" w:lineRule="auto"/>
        <w:outlineLvl w:val="2"/>
        <w:rPr>
          <w:rFonts w:ascii="仿宋" w:hAnsi="仿宋" w:eastAsia="仿宋" w:cs="仿宋"/>
          <w:b/>
          <w:color w:val="auto"/>
          <w:sz w:val="36"/>
          <w:szCs w:val="36"/>
        </w:rPr>
      </w:pPr>
      <w:r>
        <w:rPr>
          <w:rFonts w:hint="eastAsia" w:ascii="仿宋" w:hAnsi="仿宋" w:eastAsia="仿宋" w:cs="仿宋"/>
          <w:b/>
          <w:color w:val="auto"/>
          <w:sz w:val="24"/>
        </w:rPr>
        <w:t>格式2-6</w:t>
      </w:r>
      <w:r>
        <w:rPr>
          <w:rFonts w:hint="eastAsia" w:ascii="仿宋" w:hAnsi="仿宋" w:cs="仿宋"/>
          <w:b/>
          <w:color w:val="auto"/>
          <w:sz w:val="24"/>
        </w:rPr>
        <w:t>:</w:t>
      </w:r>
      <w:r>
        <w:rPr>
          <w:rFonts w:hint="eastAsia" w:ascii="仿宋" w:hAnsi="仿宋" w:eastAsia="仿宋" w:cs="仿宋"/>
          <w:b/>
          <w:color w:val="auto"/>
          <w:spacing w:val="-2"/>
          <w:sz w:val="24"/>
        </w:rPr>
        <w:t>供应商基本情况表</w:t>
      </w:r>
      <w:bookmarkEnd w:id="72"/>
      <w:bookmarkEnd w:id="73"/>
      <w:bookmarkEnd w:id="74"/>
    </w:p>
    <w:p>
      <w:pPr>
        <w:spacing w:line="360" w:lineRule="auto"/>
        <w:jc w:val="center"/>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供应商基本情况表</w:t>
      </w:r>
    </w:p>
    <w:p>
      <w:pPr>
        <w:autoSpaceDE w:val="0"/>
        <w:autoSpaceDN w:val="0"/>
        <w:snapToGrid w:val="0"/>
        <w:spacing w:line="360" w:lineRule="auto"/>
        <w:jc w:val="center"/>
        <w:rPr>
          <w:rFonts w:ascii="仿宋" w:hAnsi="仿宋" w:eastAsia="仿宋" w:cs="仿宋"/>
          <w:color w:val="auto"/>
          <w:sz w:val="20"/>
        </w:rPr>
      </w:pPr>
    </w:p>
    <w:tbl>
      <w:tblPr>
        <w:tblStyle w:val="26"/>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供应商名称</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注册地址</w:t>
            </w:r>
          </w:p>
        </w:tc>
        <w:tc>
          <w:tcPr>
            <w:tcW w:w="3252" w:type="dxa"/>
            <w:gridSpan w:val="5"/>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邮政编码</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联系方式</w:t>
            </w: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联系人</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pPr>
              <w:autoSpaceDE w:val="0"/>
              <w:autoSpaceDN w:val="0"/>
              <w:snapToGrid w:val="0"/>
              <w:jc w:val="center"/>
              <w:rPr>
                <w:rFonts w:ascii="仿宋" w:hAnsi="仿宋" w:eastAsia="仿宋" w:cs="仿宋"/>
                <w:color w:val="auto"/>
                <w:sz w:val="24"/>
              </w:rPr>
            </w:pP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传真</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网址</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组织结构</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法定代表人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技术负责人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成立时间</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5807" w:type="dxa"/>
            <w:gridSpan w:val="6"/>
            <w:vAlign w:val="center"/>
          </w:tcPr>
          <w:p>
            <w:pPr>
              <w:autoSpaceDE w:val="0"/>
              <w:autoSpaceDN w:val="0"/>
              <w:snapToGrid w:val="0"/>
              <w:rPr>
                <w:rFonts w:ascii="仿宋" w:hAnsi="仿宋" w:eastAsia="仿宋" w:cs="仿宋"/>
                <w:color w:val="auto"/>
                <w:sz w:val="24"/>
              </w:rPr>
            </w:pPr>
            <w:r>
              <w:rPr>
                <w:rFonts w:hint="eastAsia" w:ascii="仿宋" w:hAnsi="仿宋" w:eastAsia="仿宋" w:cs="仿宋"/>
                <w:color w:val="auto"/>
                <w:sz w:val="24"/>
              </w:rPr>
              <w:t>　　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企业资质</w:t>
            </w:r>
          </w:p>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等级</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其中</w:t>
            </w: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项目经理</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营业执照号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注册资金</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开户银行</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账号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技工</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经营范围</w:t>
            </w:r>
          </w:p>
        </w:tc>
        <w:tc>
          <w:tcPr>
            <w:tcW w:w="7724" w:type="dxa"/>
            <w:gridSpan w:val="9"/>
            <w:vAlign w:val="center"/>
          </w:tcPr>
          <w:p>
            <w:pPr>
              <w:autoSpaceDE w:val="0"/>
              <w:autoSpaceDN w:val="0"/>
              <w:snapToGrid w:val="0"/>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备注</w:t>
            </w:r>
          </w:p>
        </w:tc>
        <w:tc>
          <w:tcPr>
            <w:tcW w:w="7724" w:type="dxa"/>
            <w:gridSpan w:val="9"/>
          </w:tcPr>
          <w:p>
            <w:pPr>
              <w:autoSpaceDE w:val="0"/>
              <w:autoSpaceDN w:val="0"/>
              <w:snapToGrid w:val="0"/>
              <w:jc w:val="left"/>
              <w:rPr>
                <w:rFonts w:ascii="仿宋" w:hAnsi="仿宋" w:eastAsia="仿宋" w:cs="仿宋"/>
                <w:color w:val="auto"/>
                <w:sz w:val="24"/>
              </w:rPr>
            </w:pPr>
          </w:p>
        </w:tc>
      </w:tr>
    </w:tbl>
    <w:p>
      <w:pPr>
        <w:snapToGrid w:val="0"/>
        <w:spacing w:line="360" w:lineRule="auto"/>
        <w:rPr>
          <w:rFonts w:ascii="仿宋" w:hAnsi="仿宋" w:eastAsia="仿宋" w:cs="仿宋"/>
          <w:b/>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outlineLvl w:val="2"/>
        <w:rPr>
          <w:rFonts w:ascii="仿宋" w:hAnsi="仿宋" w:eastAsia="仿宋" w:cs="仿宋"/>
          <w:b/>
          <w:bCs/>
          <w:color w:val="auto"/>
          <w:sz w:val="24"/>
        </w:rPr>
      </w:pPr>
      <w:bookmarkStart w:id="102" w:name="_Toc17041"/>
      <w:bookmarkStart w:id="103" w:name="_Toc24697"/>
      <w:bookmarkStart w:id="104" w:name="_Toc16554"/>
      <w:bookmarkStart w:id="105" w:name="_Toc12453"/>
      <w:bookmarkStart w:id="106" w:name="_Toc959"/>
      <w:bookmarkStart w:id="107" w:name="_Toc4738"/>
      <w:bookmarkStart w:id="108" w:name="_Toc20691"/>
      <w:bookmarkStart w:id="109" w:name="_Toc32011"/>
      <w:bookmarkStart w:id="110" w:name="_Toc9892"/>
      <w:bookmarkStart w:id="111" w:name="_Toc29119"/>
      <w:bookmarkStart w:id="112" w:name="_Toc32072"/>
      <w:r>
        <w:rPr>
          <w:rStyle w:val="118"/>
          <w:rFonts w:hint="eastAsia" w:ascii="仿宋" w:hAnsi="仿宋" w:cs="仿宋"/>
          <w:color w:val="auto"/>
        </w:rPr>
        <w:br w:type="page"/>
      </w:r>
      <w:r>
        <w:rPr>
          <w:rFonts w:hint="eastAsia" w:ascii="仿宋" w:hAnsi="仿宋" w:eastAsia="仿宋" w:cs="仿宋"/>
          <w:b/>
          <w:bCs/>
          <w:color w:val="auto"/>
          <w:sz w:val="24"/>
        </w:rPr>
        <w:t>格式2-7</w:t>
      </w:r>
      <w:r>
        <w:rPr>
          <w:rFonts w:hint="eastAsia" w:ascii="仿宋" w:hAnsi="仿宋" w:cs="仿宋"/>
          <w:b/>
          <w:bCs/>
          <w:color w:val="auto"/>
          <w:sz w:val="24"/>
        </w:rPr>
        <w:t>:</w:t>
      </w:r>
      <w:r>
        <w:rPr>
          <w:rFonts w:hint="eastAsia" w:ascii="仿宋" w:hAnsi="仿宋" w:eastAsia="仿宋" w:cs="仿宋"/>
          <w:b/>
          <w:bCs/>
          <w:color w:val="auto"/>
          <w:sz w:val="24"/>
        </w:rPr>
        <w:t>首轮报价一览表</w:t>
      </w:r>
    </w:p>
    <w:p>
      <w:pPr>
        <w:widowControl/>
        <w:spacing w:line="360" w:lineRule="auto"/>
        <w:jc w:val="center"/>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首轮报价一览表</w:t>
      </w:r>
    </w:p>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（实质性要求）</w:t>
      </w:r>
    </w:p>
    <w:tbl>
      <w:tblPr>
        <w:tblStyle w:val="26"/>
        <w:tblW w:w="9098" w:type="dxa"/>
        <w:tblInd w:w="-130" w:type="dxa"/>
        <w:tblLayout w:type="fixed"/>
        <w:tblCellMar>
          <w:top w:w="0" w:type="dxa"/>
          <w:left w:w="108" w:type="dxa"/>
          <w:bottom w:w="0" w:type="dxa"/>
          <w:right w:w="108" w:type="dxa"/>
        </w:tblCellMar>
      </w:tblPr>
      <w:tblGrid>
        <w:gridCol w:w="614"/>
        <w:gridCol w:w="1790"/>
        <w:gridCol w:w="2119"/>
        <w:gridCol w:w="1125"/>
        <w:gridCol w:w="762"/>
        <w:gridCol w:w="763"/>
        <w:gridCol w:w="987"/>
        <w:gridCol w:w="938"/>
      </w:tblGrid>
      <w:tr>
        <w:tblPrEx>
          <w:tblCellMar>
            <w:top w:w="0" w:type="dxa"/>
            <w:left w:w="108" w:type="dxa"/>
            <w:bottom w:w="0" w:type="dxa"/>
            <w:right w:w="108" w:type="dxa"/>
          </w:tblCellMar>
        </w:tblPrEx>
        <w:trPr>
          <w:trHeight w:val="567" w:hRule="atLeast"/>
        </w:trPr>
        <w:tc>
          <w:tcPr>
            <w:tcW w:w="4523"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项目名称：</w:t>
            </w:r>
          </w:p>
        </w:tc>
        <w:tc>
          <w:tcPr>
            <w:tcW w:w="4575" w:type="dxa"/>
            <w:gridSpan w:val="5"/>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项目编号：</w:t>
            </w:r>
          </w:p>
        </w:tc>
      </w:tr>
      <w:tr>
        <w:tblPrEx>
          <w:tblCellMar>
            <w:top w:w="0" w:type="dxa"/>
            <w:left w:w="108" w:type="dxa"/>
            <w:bottom w:w="0" w:type="dxa"/>
            <w:right w:w="108" w:type="dxa"/>
          </w:tblCellMar>
        </w:tblPrEx>
        <w:trPr>
          <w:trHeight w:val="567" w:hRule="atLeast"/>
        </w:trPr>
        <w:tc>
          <w:tcPr>
            <w:tcW w:w="909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报价轮次：首轮</w:t>
            </w:r>
          </w:p>
        </w:tc>
      </w:tr>
      <w:tr>
        <w:tblPrEx>
          <w:tblCellMar>
            <w:top w:w="0" w:type="dxa"/>
            <w:left w:w="108" w:type="dxa"/>
            <w:bottom w:w="0" w:type="dxa"/>
            <w:right w:w="108" w:type="dxa"/>
          </w:tblCellMar>
        </w:tblPrEx>
        <w:trPr>
          <w:trHeight w:val="567" w:hRule="atLeast"/>
        </w:trPr>
        <w:tc>
          <w:tcPr>
            <w:tcW w:w="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序号</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维保项目</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型号</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单价限价（元）</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单位</w:t>
            </w:r>
          </w:p>
        </w:tc>
        <w:tc>
          <w:tcPr>
            <w:tcW w:w="76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数量</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报价单价（元）</w:t>
            </w: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报价总价（元）</w:t>
            </w:r>
          </w:p>
        </w:tc>
      </w:tr>
      <w:tr>
        <w:tblPrEx>
          <w:tblCellMar>
            <w:top w:w="0" w:type="dxa"/>
            <w:left w:w="108" w:type="dxa"/>
            <w:bottom w:w="0" w:type="dxa"/>
            <w:right w:w="108" w:type="dxa"/>
          </w:tblCellMar>
        </w:tblPrEx>
        <w:trPr>
          <w:trHeight w:val="567" w:hRule="atLeast"/>
        </w:trPr>
        <w:tc>
          <w:tcPr>
            <w:tcW w:w="909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一、一期中央空调系统维保报价表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螺杆式冷水机组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LSBLG670HE/Nb</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4600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真空燃气热水锅炉</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ZRQ-60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2300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KQL100-200A</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420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热水泵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KQL80-200B</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冷却水泵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KQL125-125</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全程水处理器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SYS-200B1.6JZ/D-B</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分水器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集水器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压差控制阀</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DN150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贯流式空气幕</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L=900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38</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方形横流冷却塔</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SC-175H</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1900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12</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膨胀水箱</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1000X1000X1000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13</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螺杆式冷水机组自控制系统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1360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14</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4100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风管管道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4200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16</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17</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热泵式热回收型溶液调湿机组</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HVF-12</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18</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末端盘管及控制系统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FPG-34</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59</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19</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FPG-51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134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20</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FPG-68</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88</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21</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FPG-102</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22</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FPG-136</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23</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FPG-170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89</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24</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GIII-60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90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25</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GIII-120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26</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GIII-150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27</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送风口</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498</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28</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370</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29</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新风口</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332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二、二期中央空调系统维保报价表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30</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变频离心式冷水机组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LSBLX600SVT</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7797</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31</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燃气式真空热水锅炉</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ZKW1.4</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5280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32</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L=399T/h  H=38mH</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33</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热水泵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L=138T/h  H=37.5mHo</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34</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冷却水泵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L=486T/h  H=34mH</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35</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全程水处理器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SYS-200B1.6JZ/D-B</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420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36</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分水器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210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37</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集水器</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210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38</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贯流式空气幕</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L=900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45</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39</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喷雾推进通风冷却塔</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XNPWT-1000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4500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40</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膨胀水箱</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1500*1500*1000</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600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41</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变频离心式冷水机组自控制系统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3200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42</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6400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43</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风管管道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6200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44</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2900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45</w:t>
            </w:r>
          </w:p>
        </w:tc>
        <w:tc>
          <w:tcPr>
            <w:tcW w:w="1790" w:type="dxa"/>
            <w:vMerge w:val="restart"/>
            <w:tcBorders>
              <w:top w:val="nil"/>
              <w:left w:val="nil"/>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洁净新风机组</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CYZ-08</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660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46</w:t>
            </w:r>
          </w:p>
        </w:tc>
        <w:tc>
          <w:tcPr>
            <w:tcW w:w="1790" w:type="dxa"/>
            <w:vMerge w:val="continue"/>
            <w:tcBorders>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CYZ-09</w:t>
            </w: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680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47</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卧式暗装风机盘管及控制系统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FP-34</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42</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48</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FP-51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43</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45</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49</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FP-68</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106</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50</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FP-85</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46</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59</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51</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FP-102</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47</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169</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52</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FP-136</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47</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220</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53</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FP-170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49</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54</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FP-204</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49</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33</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55</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FP-238</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51</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25</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56</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DGV1-80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57</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DGV1-90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135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58</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DGV1-100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59</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DGV1-120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60</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DGV1-150</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61</w:t>
            </w:r>
          </w:p>
        </w:tc>
        <w:tc>
          <w:tcPr>
            <w:tcW w:w="1790" w:type="dxa"/>
            <w:vMerge w:val="restart"/>
            <w:tcBorders>
              <w:top w:val="nil"/>
              <w:left w:val="nil"/>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送风口</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985</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62</w:t>
            </w:r>
          </w:p>
        </w:tc>
        <w:tc>
          <w:tcPr>
            <w:tcW w:w="1790" w:type="dxa"/>
            <w:vMerge w:val="continue"/>
            <w:tcBorders>
              <w:left w:val="nil"/>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687</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63</w:t>
            </w:r>
          </w:p>
        </w:tc>
        <w:tc>
          <w:tcPr>
            <w:tcW w:w="1790" w:type="dxa"/>
            <w:vMerge w:val="continue"/>
            <w:tcBorders>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新风口</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711</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三、放射科精密空调维保报价表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64</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风冷模块机组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1250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65</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空调循环水泵</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66</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67</w:t>
            </w:r>
          </w:p>
        </w:tc>
        <w:tc>
          <w:tcPr>
            <w:tcW w:w="179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1320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68</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室外机组自控制系统</w:t>
            </w:r>
          </w:p>
        </w:tc>
        <w:tc>
          <w:tcPr>
            <w:tcW w:w="211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69</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精密空调</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四、信息科精密空调维保报价表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70</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精密空调</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6530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五、手术室净化系统维护保养报价表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71</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72</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73</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18</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74</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75</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76</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77</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78</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79</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80</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81</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82</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情报面板</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83</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六、ICU净化系统维护保养报价表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84</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85</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86</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87</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88</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89</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90</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奥揽达</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91</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92</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93</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94</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95</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85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96</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七、PCR实验室净化系统维护保养报价表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制冷室外机组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1150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98</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排风净化机</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1250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99</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100</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2450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101</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102</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103</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104</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560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105</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106</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八、消毒供应室维护保养报价表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108</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109</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110</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265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111</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112</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113</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消毒机</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114</w:t>
            </w:r>
          </w:p>
        </w:tc>
        <w:tc>
          <w:tcPr>
            <w:tcW w:w="1790"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115</w:t>
            </w:r>
          </w:p>
        </w:tc>
        <w:tc>
          <w:tcPr>
            <w:tcW w:w="1790" w:type="dxa"/>
            <w:tcBorders>
              <w:top w:val="nil"/>
              <w:left w:val="nil"/>
              <w:bottom w:val="single" w:color="auto" w:sz="4"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风机盘管</w:t>
            </w:r>
          </w:p>
        </w:tc>
        <w:tc>
          <w:tcPr>
            <w:tcW w:w="2119" w:type="dxa"/>
            <w:tcBorders>
              <w:top w:val="nil"/>
              <w:left w:val="nil"/>
              <w:bottom w:val="single" w:color="auto" w:sz="4" w:space="0"/>
              <w:right w:val="single" w:color="000000" w:sz="8"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nil"/>
              <w:left w:val="nil"/>
              <w:bottom w:val="single" w:color="auto" w:sz="4" w:space="0"/>
              <w:right w:val="single" w:color="000000" w:sz="8"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auto" w:sz="4" w:space="0"/>
              <w:right w:val="single" w:color="000000" w:sz="8"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auto" w:sz="4" w:space="0"/>
              <w:right w:val="single" w:color="000000" w:sz="8"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auto" w:sz="4" w:space="0"/>
              <w:right w:val="single" w:color="000000" w:sz="8" w:space="0"/>
            </w:tcBorders>
            <w:shd w:val="clear" w:color="auto" w:fill="auto"/>
            <w:vAlign w:val="center"/>
          </w:tcPr>
          <w:p>
            <w:pPr>
              <w:widowControl/>
              <w:jc w:val="center"/>
              <w:rPr>
                <w:rFonts w:ascii="仿宋" w:hAnsi="仿宋" w:eastAsia="仿宋" w:cs="仿宋"/>
                <w:color w:val="auto"/>
                <w:sz w:val="24"/>
              </w:rPr>
            </w:pPr>
          </w:p>
        </w:tc>
        <w:tc>
          <w:tcPr>
            <w:tcW w:w="938" w:type="dxa"/>
            <w:tcBorders>
              <w:top w:val="nil"/>
              <w:left w:val="nil"/>
              <w:bottom w:val="single" w:color="auto" w:sz="4" w:space="0"/>
              <w:right w:val="single" w:color="000000" w:sz="8"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4"/>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auto"/>
              <w:jc w:val="center"/>
              <w:rPr>
                <w:rFonts w:ascii="仿宋" w:hAnsi="仿宋" w:eastAsia="仿宋" w:cs="仿宋"/>
                <w:color w:val="auto"/>
                <w:sz w:val="24"/>
              </w:rPr>
            </w:pPr>
            <w:r>
              <w:rPr>
                <w:rFonts w:hint="eastAsia" w:ascii="仿宋" w:hAnsi="仿宋" w:eastAsia="仿宋" w:cs="仿宋"/>
                <w:color w:val="auto"/>
                <w:sz w:val="24"/>
              </w:rPr>
              <w:t>1150</w:t>
            </w: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sz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sz w:val="24"/>
              </w:rPr>
            </w:pPr>
            <w:r>
              <w:rPr>
                <w:rFonts w:hint="eastAsia" w:ascii="仿宋" w:hAnsi="仿宋" w:eastAsia="仿宋" w:cs="仿宋"/>
                <w:color w:val="auto"/>
                <w:sz w:val="24"/>
              </w:rPr>
              <w:t>报价总价（小写金额）：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元；下浮比例</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%（保留小数点后两位数）</w:t>
            </w: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color w:val="auto"/>
                <w:sz w:val="24"/>
                <w:lang w:val="en-US" w:eastAsia="zh-CN"/>
              </w:rPr>
            </w:pPr>
            <w:r>
              <w:rPr>
                <w:rFonts w:hint="eastAsia" w:ascii="仿宋" w:hAnsi="仿宋" w:eastAsia="仿宋" w:cs="仿宋"/>
                <w:color w:val="auto"/>
                <w:sz w:val="24"/>
              </w:rPr>
              <w:t>报价总价（大写金额）：</w:t>
            </w:r>
            <w:r>
              <w:rPr>
                <w:rFonts w:hint="eastAsia" w:ascii="仿宋" w:hAnsi="仿宋" w:eastAsia="仿宋" w:cs="仿宋"/>
                <w:color w:val="auto"/>
                <w:sz w:val="24"/>
                <w:u w:val="single"/>
                <w:lang w:val="en-US" w:eastAsia="zh-CN"/>
              </w:rPr>
              <w:t xml:space="preserve">                             </w:t>
            </w:r>
          </w:p>
        </w:tc>
      </w:tr>
    </w:tbl>
    <w:p>
      <w:pPr>
        <w:widowControl/>
        <w:spacing w:line="360" w:lineRule="auto"/>
        <w:jc w:val="center"/>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rFonts w:eastAsia="仿宋"/>
          <w:bCs/>
          <w:color w:val="auto"/>
        </w:rPr>
      </w:pPr>
      <w:r>
        <w:rPr>
          <w:rFonts w:hint="eastAsia" w:ascii="仿宋" w:hAnsi="仿宋" w:cs="仿宋"/>
          <w:bCs/>
          <w:color w:val="auto"/>
          <w:sz w:val="24"/>
        </w:rPr>
        <w:t>2</w:t>
      </w:r>
      <w:r>
        <w:rPr>
          <w:rFonts w:hint="eastAsia" w:ascii="仿宋" w:hAnsi="仿宋" w:eastAsia="仿宋" w:cs="仿宋"/>
          <w:bCs/>
          <w:color w:val="auto"/>
          <w:sz w:val="24"/>
        </w:rPr>
        <w:t>.特别注意：本表需填写完整并装订入其他响应文件中。</w:t>
      </w:r>
    </w:p>
    <w:p>
      <w:pPr>
        <w:pStyle w:val="116"/>
        <w:ind w:firstLine="480" w:firstLineChars="200"/>
        <w:rPr>
          <w:rFonts w:ascii="仿宋" w:hAnsi="仿宋" w:eastAsia="仿宋" w:cs="仿宋"/>
          <w:bCs/>
          <w:color w:val="auto"/>
          <w:sz w:val="24"/>
        </w:rPr>
      </w:pPr>
      <w:r>
        <w:rPr>
          <w:rFonts w:hint="eastAsia" w:ascii="仿宋" w:hAnsi="仿宋" w:eastAsia="仿宋" w:cs="仿宋"/>
          <w:bCs/>
          <w:color w:val="auto"/>
          <w:sz w:val="24"/>
        </w:rPr>
        <w:t>3.本项目报价需分项报价和总价报价按照同比例下浮报价，保留小数点后两位。</w:t>
      </w:r>
    </w:p>
    <w:p>
      <w:pPr>
        <w:snapToGrid w:val="0"/>
        <w:spacing w:line="360" w:lineRule="auto"/>
        <w:ind w:firstLine="480" w:firstLineChars="200"/>
        <w:jc w:val="left"/>
        <w:rPr>
          <w:rFonts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bookmarkStart w:id="113" w:name="_Toc4463"/>
      <w:bookmarkStart w:id="114" w:name="_Toc21989"/>
    </w:p>
    <w:p>
      <w:pPr>
        <w:rPr>
          <w:rFonts w:ascii="仿宋" w:hAnsi="仿宋" w:eastAsia="仿宋" w:cs="仿宋"/>
          <w:b/>
          <w:bCs/>
          <w:color w:val="auto"/>
          <w:sz w:val="24"/>
        </w:rPr>
      </w:pPr>
      <w:r>
        <w:rPr>
          <w:rFonts w:hint="eastAsia" w:ascii="仿宋" w:hAnsi="仿宋" w:eastAsia="仿宋" w:cs="仿宋"/>
          <w:b/>
          <w:bCs/>
          <w:color w:val="auto"/>
          <w:sz w:val="24"/>
        </w:rPr>
        <w:br w:type="page"/>
      </w:r>
    </w:p>
    <w:p>
      <w:pPr>
        <w:snapToGrid w:val="0"/>
        <w:spacing w:line="360" w:lineRule="auto"/>
        <w:jc w:val="left"/>
        <w:outlineLvl w:val="2"/>
        <w:rPr>
          <w:rFonts w:ascii="仿宋" w:hAnsi="仿宋" w:eastAsia="仿宋" w:cs="仿宋"/>
          <w:b/>
          <w:bCs/>
          <w:color w:val="auto"/>
          <w:sz w:val="36"/>
          <w:szCs w:val="36"/>
        </w:rPr>
      </w:pPr>
      <w:r>
        <w:rPr>
          <w:rFonts w:hint="eastAsia" w:ascii="仿宋" w:hAnsi="仿宋" w:eastAsia="仿宋" w:cs="仿宋"/>
          <w:b/>
          <w:bCs/>
          <w:color w:val="auto"/>
          <w:sz w:val="24"/>
        </w:rPr>
        <w:t>格式2-8</w:t>
      </w:r>
      <w:r>
        <w:rPr>
          <w:rFonts w:hint="eastAsia" w:ascii="仿宋" w:hAnsi="仿宋" w:cs="仿宋"/>
          <w:b/>
          <w:bCs/>
          <w:color w:val="auto"/>
          <w:sz w:val="24"/>
        </w:rPr>
        <w:t>:</w:t>
      </w:r>
      <w:r>
        <w:rPr>
          <w:rFonts w:hint="eastAsia" w:ascii="仿宋" w:hAnsi="仿宋" w:eastAsia="仿宋" w:cs="仿宋"/>
          <w:b/>
          <w:bCs/>
          <w:color w:val="auto"/>
          <w:sz w:val="24"/>
        </w:rPr>
        <w:t>承诺函</w:t>
      </w:r>
      <w:bookmarkEnd w:id="113"/>
      <w:bookmarkEnd w:id="114"/>
      <w:bookmarkStart w:id="115" w:name="_Toc6183_WPSOffice_Level2"/>
    </w:p>
    <w:p>
      <w:pPr>
        <w:pStyle w:val="19"/>
        <w:snapToGrid w:val="0"/>
        <w:spacing w:beforeLines="100" w:after="20" w:line="360" w:lineRule="auto"/>
        <w:ind w:left="0" w:leftChars="0" w:firstLine="181" w:firstLineChars="50"/>
        <w:jc w:val="center"/>
        <w:rPr>
          <w:rFonts w:ascii="仿宋" w:hAnsi="仿宋" w:eastAsia="仿宋" w:cs="仿宋"/>
          <w:b/>
          <w:bCs/>
          <w:color w:val="auto"/>
          <w:sz w:val="36"/>
          <w:szCs w:val="36"/>
        </w:rPr>
      </w:pPr>
      <w:bookmarkStart w:id="116" w:name="_Toc31555"/>
      <w:bookmarkStart w:id="117" w:name="_Toc9407"/>
      <w:r>
        <w:rPr>
          <w:rFonts w:hint="eastAsia" w:ascii="仿宋" w:hAnsi="仿宋" w:eastAsia="仿宋" w:cs="仿宋"/>
          <w:b/>
          <w:bCs/>
          <w:color w:val="auto"/>
          <w:sz w:val="36"/>
          <w:szCs w:val="36"/>
        </w:rPr>
        <w:t>承诺函</w:t>
      </w:r>
      <w:bookmarkEnd w:id="115"/>
      <w:bookmarkEnd w:id="116"/>
      <w:bookmarkEnd w:id="117"/>
    </w:p>
    <w:p>
      <w:pPr>
        <w:widowControl/>
        <w:spacing w:line="360" w:lineRule="auto"/>
        <w:jc w:val="center"/>
        <w:rPr>
          <w:rFonts w:ascii="仿宋" w:hAnsi="仿宋" w:eastAsia="仿宋" w:cs="仿宋"/>
          <w:bCs/>
          <w:color w:val="auto"/>
          <w:sz w:val="24"/>
        </w:rPr>
      </w:pPr>
      <w:r>
        <w:rPr>
          <w:rFonts w:hint="eastAsia" w:ascii="仿宋" w:hAnsi="仿宋" w:eastAsia="仿宋" w:cs="仿宋"/>
          <w:color w:val="auto"/>
          <w:sz w:val="24"/>
        </w:rPr>
        <w:t>（实质性要求）</w:t>
      </w:r>
    </w:p>
    <w:p>
      <w:pPr>
        <w:widowControl/>
        <w:spacing w:line="360" w:lineRule="auto"/>
        <w:jc w:val="left"/>
        <w:rPr>
          <w:color w:val="auto"/>
          <w:lang w:val="zh-CN"/>
        </w:rPr>
      </w:pPr>
      <w:r>
        <w:rPr>
          <w:rFonts w:hint="eastAsia" w:ascii="仿宋" w:hAnsi="仿宋" w:eastAsia="仿宋" w:cs="仿宋"/>
          <w:color w:val="auto"/>
          <w:sz w:val="24"/>
          <w:u w:val="single"/>
          <w:lang w:val="zh-CN"/>
        </w:rPr>
        <w:t>XXXXXXXX</w:t>
      </w:r>
      <w:r>
        <w:rPr>
          <w:rFonts w:hint="eastAsia" w:ascii="仿宋" w:hAnsi="仿宋" w:eastAsia="仿宋" w:cs="仿宋"/>
          <w:color w:val="auto"/>
          <w:sz w:val="24"/>
          <w:lang w:val="zh-CN"/>
        </w:rPr>
        <w:t>（采购人名称）：</w:t>
      </w:r>
    </w:p>
    <w:p>
      <w:pPr>
        <w:widowControl/>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我公司作为本次采购项目的供应商，根据采购文件要求，现郑重承诺如下：</w:t>
      </w:r>
    </w:p>
    <w:p>
      <w:pPr>
        <w:pStyle w:val="19"/>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一、我方</w:t>
      </w:r>
      <w:r>
        <w:rPr>
          <w:rFonts w:hint="eastAsia" w:ascii="仿宋" w:hAnsi="仿宋" w:eastAsia="仿宋" w:cs="仿宋"/>
          <w:color w:val="auto"/>
          <w:sz w:val="24"/>
          <w:lang w:val="zh-CN"/>
        </w:rPr>
        <w:t>响应文件中提供的任何材料资料和技术、服务、商务等响应承诺情况都是真实的、有效的、合法的</w:t>
      </w:r>
      <w:r>
        <w:rPr>
          <w:rFonts w:hint="eastAsia" w:ascii="仿宋" w:hAnsi="仿宋" w:eastAsia="仿宋" w:cs="仿宋"/>
          <w:bCs/>
          <w:color w:val="auto"/>
          <w:sz w:val="24"/>
        </w:rPr>
        <w:t>。</w:t>
      </w:r>
    </w:p>
    <w:p>
      <w:pPr>
        <w:pStyle w:val="19"/>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二、我方愿意提交贵单位可能另外要求的，与报价有关的文件资料，并保证我方已提供和将要提供的文件资料是真实、准确的。</w:t>
      </w:r>
    </w:p>
    <w:p>
      <w:pPr>
        <w:pStyle w:val="19"/>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三、我方完全同意采购文件全部的实质性要求，并严格按照采购文件要求履行。</w:t>
      </w:r>
    </w:p>
    <w:p>
      <w:pPr>
        <w:widowControl/>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bCs/>
          <w:color w:val="auto"/>
          <w:sz w:val="24"/>
        </w:rPr>
        <w:t>四、</w:t>
      </w:r>
      <w:r>
        <w:rPr>
          <w:rFonts w:hint="eastAsia" w:ascii="仿宋" w:hAnsi="仿宋" w:eastAsia="仿宋" w:cs="仿宋"/>
          <w:color w:val="auto"/>
          <w:sz w:val="24"/>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五、国家或行业主管部门对供应商和采购产品的技术标准、质量标准和资格资质条件等有强制性规定的，我方承诺符合其要求。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在评审中，当采购人代表、采购代理机构或评审小组需要我方及时对响应文件内容进行澄清答疑或需要我方派授权代表参加谈判时，若因我方原因未及时到场（未按采购人、采购代理机构、评审小组要求到场）澄清答疑、或谈判的，我方自愿接受评审小组做出的不利于我方的评审结果，绝不反悔。</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七、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lang w:val="zh-CN"/>
        </w:rPr>
        <w:t>八、</w:t>
      </w:r>
      <w:r>
        <w:rPr>
          <w:rFonts w:hint="eastAsia" w:ascii="仿宋" w:hAnsi="仿宋" w:eastAsia="仿宋" w:cs="仿宋"/>
          <w:bCs/>
          <w:color w:val="auto"/>
          <w:sz w:val="24"/>
        </w:rPr>
        <w:t>我方承诺在响应有效期_____天内不撤销响应文件</w:t>
      </w:r>
    </w:p>
    <w:p>
      <w:pPr>
        <w:widowControl/>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九、如果我公司成交：</w:t>
      </w:r>
    </w:p>
    <w:p>
      <w:pPr>
        <w:widowControl/>
        <w:numPr>
          <w:ilvl w:val="255"/>
          <w:numId w:val="0"/>
        </w:numPr>
        <w:spacing w:line="360" w:lineRule="auto"/>
        <w:ind w:firstLine="480" w:firstLineChars="200"/>
        <w:rPr>
          <w:rFonts w:ascii="仿宋" w:hAnsi="仿宋" w:eastAsia="仿宋" w:cs="仿宋"/>
          <w:bCs/>
          <w:color w:val="auto"/>
          <w:sz w:val="24"/>
          <w:lang w:val="zh-CN"/>
        </w:rPr>
      </w:pPr>
      <w:r>
        <w:rPr>
          <w:rFonts w:hint="eastAsia" w:ascii="仿宋" w:hAnsi="仿宋" w:eastAsia="仿宋" w:cs="仿宋"/>
          <w:bCs/>
          <w:color w:val="auto"/>
          <w:sz w:val="24"/>
          <w:lang w:val="zh-CN"/>
        </w:rPr>
        <w:t>（</w:t>
      </w:r>
      <w:r>
        <w:rPr>
          <w:rFonts w:hint="eastAsia" w:ascii="仿宋" w:hAnsi="仿宋" w:eastAsia="仿宋" w:cs="仿宋"/>
          <w:bCs/>
          <w:color w:val="auto"/>
          <w:sz w:val="24"/>
        </w:rPr>
        <w:t>1</w:t>
      </w:r>
      <w:r>
        <w:rPr>
          <w:rFonts w:hint="eastAsia" w:ascii="仿宋" w:hAnsi="仿宋" w:eastAsia="仿宋" w:cs="仿宋"/>
          <w:bCs/>
          <w:color w:val="auto"/>
          <w:sz w:val="24"/>
          <w:lang w:val="zh-CN"/>
        </w:rPr>
        <w:t>）我方将严格按本项目采购文件约定的采购代理服务费收取标准、金额等要求如数足额向采购代理机构缴纳采购代理服务费。</w:t>
      </w:r>
    </w:p>
    <w:p>
      <w:pPr>
        <w:widowControl/>
        <w:numPr>
          <w:ilvl w:val="255"/>
          <w:numId w:val="0"/>
        </w:num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（2）我方将严格按照采购文件确定的事项和我方响应文件内容签订合同并全面履行合同规定的责任和义务，保证按合同要求提供项目所列的质量、技术和服务内容。</w:t>
      </w:r>
    </w:p>
    <w:p>
      <w:pPr>
        <w:widowControl/>
        <w:numPr>
          <w:ilvl w:val="255"/>
          <w:numId w:val="0"/>
        </w:num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（3）我方承诺在收到成交通知书后，在规定的期限内与采购人签订合同。</w:t>
      </w:r>
    </w:p>
    <w:p>
      <w:pPr>
        <w:widowControl/>
        <w:numPr>
          <w:ilvl w:val="255"/>
          <w:numId w:val="0"/>
        </w:num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（4）我方承诺按照采购文件规定的金额和方式向采购人缴纳履约保证金。</w:t>
      </w:r>
    </w:p>
    <w:p>
      <w:pPr>
        <w:widowControl/>
        <w:numPr>
          <w:ilvl w:val="255"/>
          <w:numId w:val="0"/>
        </w:numPr>
        <w:spacing w:line="360" w:lineRule="auto"/>
        <w:ind w:left="420" w:leftChars="200"/>
        <w:rPr>
          <w:rFonts w:ascii="仿宋" w:hAnsi="仿宋" w:eastAsia="仿宋" w:cs="仿宋"/>
          <w:bCs/>
          <w:color w:val="auto"/>
          <w:sz w:val="24"/>
        </w:rPr>
      </w:pPr>
      <w:r>
        <w:rPr>
          <w:rFonts w:hint="eastAsia" w:ascii="仿宋" w:hAnsi="仿宋" w:eastAsia="仿宋" w:cs="仿宋"/>
          <w:bCs/>
          <w:color w:val="auto"/>
          <w:sz w:val="24"/>
          <w:lang w:val="zh-CN"/>
        </w:rPr>
        <w:t>十、</w:t>
      </w:r>
      <w:r>
        <w:rPr>
          <w:rFonts w:hint="eastAsia" w:ascii="仿宋" w:hAnsi="仿宋" w:eastAsia="仿宋" w:cs="仿宋"/>
          <w:bCs/>
          <w:color w:val="auto"/>
          <w:sz w:val="24"/>
        </w:rPr>
        <w:t>（其他补充说明；如果没有，填写“无”）。</w:t>
      </w:r>
    </w:p>
    <w:p>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lang w:val="zh-CN"/>
        </w:rPr>
        <w:t>本公司对上述承诺的内容事项真实性负责。如经查实上述承诺的内容事项存在虚假，我公司自行承担以提供虚假材料谋取成交的一切法律责任。</w:t>
      </w:r>
    </w:p>
    <w:p>
      <w:pPr>
        <w:pStyle w:val="2"/>
        <w:spacing w:line="360" w:lineRule="auto"/>
        <w:rPr>
          <w:color w:val="auto"/>
        </w:rPr>
      </w:pPr>
    </w:p>
    <w:p>
      <w:pPr>
        <w:spacing w:line="360" w:lineRule="auto"/>
        <w:ind w:firstLine="480" w:firstLineChars="200"/>
        <w:rPr>
          <w:rFonts w:ascii="仿宋" w:hAnsi="仿宋" w:eastAsia="仿宋" w:cs="仿宋"/>
          <w:bCs/>
          <w:color w:val="auto"/>
          <w:sz w:val="24"/>
        </w:rPr>
      </w:pPr>
    </w:p>
    <w:p>
      <w:pPr>
        <w:spacing w:line="360" w:lineRule="auto"/>
        <w:ind w:firstLine="480" w:firstLineChars="200"/>
        <w:rPr>
          <w:rFonts w:ascii="仿宋" w:hAnsi="仿宋" w:eastAsia="仿宋" w:cs="仿宋"/>
          <w:bCs/>
          <w:color w:val="auto"/>
          <w:sz w:val="24"/>
        </w:rPr>
      </w:pP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w:t>
      </w:r>
      <w:r>
        <w:rPr>
          <w:rFonts w:hint="eastAsia" w:ascii="仿宋" w:hAnsi="仿宋" w:eastAsia="仿宋" w:cs="仿宋"/>
          <w:color w:val="auto"/>
          <w:sz w:val="24"/>
          <w:lang w:val="zh-CN"/>
        </w:rPr>
        <w:t>或授权代表</w:t>
      </w:r>
      <w:r>
        <w:rPr>
          <w:rFonts w:hint="eastAsia" w:ascii="仿宋" w:hAnsi="仿宋" w:eastAsia="仿宋" w:cs="仿宋"/>
          <w:bCs/>
          <w:color w:val="auto"/>
          <w:sz w:val="24"/>
        </w:rPr>
        <w:t>（签字）：</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日    期：</w:t>
      </w:r>
    </w:p>
    <w:p>
      <w:pPr>
        <w:rPr>
          <w:rStyle w:val="118"/>
          <w:rFonts w:ascii="仿宋" w:hAnsi="仿宋" w:cs="仿宋"/>
          <w:color w:val="auto"/>
        </w:rPr>
      </w:pPr>
      <w:r>
        <w:rPr>
          <w:rStyle w:val="118"/>
          <w:rFonts w:hint="eastAsia" w:ascii="仿宋" w:hAnsi="仿宋" w:cs="仿宋"/>
          <w:color w:val="auto"/>
        </w:rPr>
        <w:br w:type="page"/>
      </w:r>
    </w:p>
    <w:bookmarkEnd w:id="102"/>
    <w:bookmarkEnd w:id="103"/>
    <w:bookmarkEnd w:id="104"/>
    <w:bookmarkEnd w:id="105"/>
    <w:bookmarkEnd w:id="106"/>
    <w:bookmarkEnd w:id="107"/>
    <w:bookmarkEnd w:id="108"/>
    <w:bookmarkEnd w:id="109"/>
    <w:bookmarkEnd w:id="110"/>
    <w:bookmarkEnd w:id="111"/>
    <w:bookmarkEnd w:id="112"/>
    <w:p>
      <w:pPr>
        <w:numPr>
          <w:ilvl w:val="0"/>
          <w:numId w:val="2"/>
        </w:numPr>
        <w:tabs>
          <w:tab w:val="left" w:leader="dot" w:pos="7380"/>
        </w:tabs>
        <w:snapToGrid w:val="0"/>
        <w:spacing w:line="324"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“报价响应文件”格式</w:t>
      </w:r>
    </w:p>
    <w:p>
      <w:pPr>
        <w:pStyle w:val="2"/>
        <w:rPr>
          <w:color w:val="auto"/>
        </w:rPr>
      </w:pPr>
    </w:p>
    <w:p>
      <w:pPr>
        <w:tabs>
          <w:tab w:val="left" w:leader="dot" w:pos="7380"/>
        </w:tabs>
        <w:snapToGrid w:val="0"/>
        <w:spacing w:line="324" w:lineRule="auto"/>
        <w:outlineLvl w:val="2"/>
        <w:rPr>
          <w:rFonts w:ascii="仿宋" w:hAnsi="仿宋" w:eastAsia="仿宋" w:cs="仿宋"/>
          <w:b/>
          <w:bCs/>
          <w:color w:val="auto"/>
          <w:sz w:val="24"/>
        </w:rPr>
      </w:pPr>
      <w:r>
        <w:rPr>
          <w:rFonts w:hint="eastAsia" w:ascii="仿宋" w:hAnsi="仿宋" w:eastAsia="仿宋" w:cs="仿宋"/>
          <w:b/>
          <w:bCs/>
          <w:color w:val="auto"/>
          <w:kern w:val="0"/>
          <w:sz w:val="24"/>
        </w:rPr>
        <w:t>格式3-1</w:t>
      </w:r>
      <w:r>
        <w:rPr>
          <w:rFonts w:hint="eastAsia" w:ascii="仿宋" w:hAnsi="仿宋" w:cs="仿宋"/>
          <w:b/>
          <w:bCs/>
          <w:color w:val="auto"/>
          <w:sz w:val="24"/>
        </w:rPr>
        <w:t>:</w:t>
      </w:r>
      <w:r>
        <w:rPr>
          <w:rFonts w:hint="eastAsia" w:ascii="仿宋" w:hAnsi="仿宋" w:eastAsia="仿宋" w:cs="仿宋"/>
          <w:b/>
          <w:bCs/>
          <w:color w:val="auto"/>
          <w:sz w:val="24"/>
        </w:rPr>
        <w:t>报价响应文件封面</w:t>
      </w:r>
    </w:p>
    <w:p>
      <w:pPr>
        <w:tabs>
          <w:tab w:val="left" w:leader="dot" w:pos="7380"/>
        </w:tabs>
        <w:snapToGrid w:val="0"/>
        <w:spacing w:line="324" w:lineRule="auto"/>
        <w:jc w:val="left"/>
        <w:rPr>
          <w:rFonts w:ascii="仿宋" w:hAnsi="仿宋" w:eastAsia="仿宋" w:cs="仿宋"/>
          <w:b/>
          <w:bCs/>
          <w:color w:val="auto"/>
          <w:sz w:val="32"/>
          <w:szCs w:val="32"/>
        </w:rPr>
      </w:pPr>
    </w:p>
    <w:p>
      <w:pPr>
        <w:pStyle w:val="2"/>
        <w:rPr>
          <w:color w:val="auto"/>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jc w:val="center"/>
        <w:rPr>
          <w:rFonts w:ascii="仿宋" w:hAnsi="仿宋" w:eastAsia="仿宋" w:cs="仿宋"/>
          <w:b/>
          <w:bCs/>
          <w:color w:val="auto"/>
          <w:sz w:val="84"/>
          <w:szCs w:val="84"/>
        </w:rPr>
      </w:pPr>
      <w:r>
        <w:rPr>
          <w:rFonts w:hint="eastAsia" w:ascii="仿宋" w:hAnsi="仿宋" w:eastAsia="仿宋" w:cs="仿宋"/>
          <w:b/>
          <w:bCs/>
          <w:color w:val="auto"/>
          <w:sz w:val="84"/>
          <w:szCs w:val="84"/>
        </w:rPr>
        <w:t>报价响应文件</w:t>
      </w:r>
    </w:p>
    <w:p>
      <w:pPr>
        <w:tabs>
          <w:tab w:val="left" w:leader="dot" w:pos="7380"/>
        </w:tabs>
        <w:snapToGrid w:val="0"/>
        <w:spacing w:line="324" w:lineRule="auto"/>
        <w:jc w:val="center"/>
        <w:rPr>
          <w:rFonts w:ascii="仿宋" w:hAnsi="仿宋" w:eastAsia="仿宋" w:cs="仿宋"/>
          <w:b/>
          <w:bCs/>
          <w:color w:val="auto"/>
          <w:sz w:val="32"/>
          <w:szCs w:val="32"/>
        </w:rPr>
      </w:pPr>
    </w:p>
    <w:p>
      <w:pPr>
        <w:tabs>
          <w:tab w:val="left" w:pos="4005"/>
          <w:tab w:val="left" w:leader="dot" w:pos="7380"/>
        </w:tabs>
        <w:snapToGrid w:val="0"/>
        <w:spacing w:line="324" w:lineRule="auto"/>
        <w:rPr>
          <w:rFonts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pos="4005"/>
          <w:tab w:val="left" w:leader="dot" w:pos="7380"/>
        </w:tabs>
        <w:snapToGrid w:val="0"/>
        <w:spacing w:line="360" w:lineRule="auto"/>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项目名称：</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项目编号：</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spacing w:line="360" w:lineRule="atLeas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日期：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pPr>
        <w:pStyle w:val="2"/>
        <w:rPr>
          <w:rFonts w:ascii="仿宋" w:hAnsi="仿宋" w:eastAsia="仿宋" w:cs="仿宋"/>
          <w:b/>
          <w:color w:val="auto"/>
          <w:sz w:val="32"/>
          <w:szCs w:val="32"/>
        </w:rPr>
      </w:pPr>
    </w:p>
    <w:p>
      <w:pPr>
        <w:widowControl/>
        <w:spacing w:line="360" w:lineRule="atLeast"/>
        <w:rPr>
          <w:rFonts w:ascii="宋体" w:hAnsi="宋体" w:cs="宋体"/>
          <w:b/>
          <w:bCs/>
          <w:color w:val="auto"/>
          <w:sz w:val="32"/>
          <w:szCs w:val="32"/>
        </w:rPr>
      </w:pPr>
    </w:p>
    <w:p>
      <w:pPr>
        <w:pStyle w:val="2"/>
        <w:rPr>
          <w:color w:val="auto"/>
        </w:rPr>
      </w:pPr>
    </w:p>
    <w:p>
      <w:pPr>
        <w:pStyle w:val="10"/>
        <w:rPr>
          <w:color w:val="auto"/>
        </w:rPr>
      </w:pPr>
    </w:p>
    <w:p>
      <w:pPr>
        <w:rPr>
          <w:color w:val="auto"/>
        </w:rPr>
      </w:pPr>
    </w:p>
    <w:p>
      <w:pPr>
        <w:pStyle w:val="2"/>
        <w:rPr>
          <w:color w:val="auto"/>
        </w:rPr>
      </w:pPr>
    </w:p>
    <w:p>
      <w:pPr>
        <w:pStyle w:val="2"/>
        <w:rPr>
          <w:color w:val="auto"/>
        </w:rPr>
      </w:pPr>
    </w:p>
    <w:p>
      <w:pPr>
        <w:rPr>
          <w:color w:val="auto"/>
        </w:rPr>
      </w:pPr>
    </w:p>
    <w:p>
      <w:pPr>
        <w:jc w:val="left"/>
        <w:rPr>
          <w:rFonts w:ascii="仿宋" w:hAnsi="仿宋" w:eastAsia="仿宋" w:cs="仿宋"/>
          <w:b/>
          <w:bCs/>
          <w:color w:val="auto"/>
          <w:sz w:val="24"/>
        </w:rPr>
      </w:pPr>
      <w:bookmarkStart w:id="118" w:name="_Toc14228"/>
      <w:bookmarkStart w:id="119" w:name="_Toc30261"/>
      <w:r>
        <w:rPr>
          <w:rFonts w:hint="eastAsia" w:ascii="仿宋" w:hAnsi="仿宋" w:eastAsia="仿宋" w:cs="仿宋"/>
          <w:b/>
          <w:bCs/>
          <w:color w:val="auto"/>
          <w:sz w:val="24"/>
        </w:rPr>
        <w:br w:type="page"/>
      </w:r>
    </w:p>
    <w:p>
      <w:pPr>
        <w:snapToGrid w:val="0"/>
        <w:spacing w:line="360" w:lineRule="auto"/>
        <w:outlineLvl w:val="2"/>
        <w:rPr>
          <w:rFonts w:ascii="仿宋" w:hAnsi="仿宋" w:eastAsia="仿宋" w:cs="仿宋"/>
          <w:b/>
          <w:bCs/>
          <w:color w:val="auto"/>
          <w:sz w:val="24"/>
        </w:rPr>
      </w:pPr>
      <w:r>
        <w:rPr>
          <w:rFonts w:hint="eastAsia" w:ascii="仿宋" w:hAnsi="仿宋" w:eastAsia="仿宋" w:cs="仿宋"/>
          <w:b/>
          <w:bCs/>
          <w:color w:val="auto"/>
          <w:sz w:val="24"/>
        </w:rPr>
        <w:t>格式3-2</w:t>
      </w:r>
      <w:r>
        <w:rPr>
          <w:rFonts w:hint="eastAsia" w:ascii="仿宋" w:hAnsi="仿宋" w:cs="仿宋"/>
          <w:b/>
          <w:bCs/>
          <w:color w:val="auto"/>
          <w:sz w:val="24"/>
        </w:rPr>
        <w:t>:</w:t>
      </w:r>
      <w:r>
        <w:rPr>
          <w:rFonts w:hint="eastAsia" w:ascii="仿宋" w:hAnsi="仿宋" w:eastAsia="仿宋" w:cs="仿宋"/>
          <w:b/>
          <w:bCs/>
          <w:color w:val="auto"/>
          <w:sz w:val="24"/>
        </w:rPr>
        <w:t>多轮报价一览表</w:t>
      </w:r>
    </w:p>
    <w:p>
      <w:pPr>
        <w:snapToGrid w:val="0"/>
        <w:spacing w:line="360" w:lineRule="auto"/>
        <w:jc w:val="center"/>
        <w:rPr>
          <w:rFonts w:ascii="仿宋" w:hAnsi="仿宋" w:eastAsia="仿宋" w:cs="仿宋"/>
          <w:b/>
          <w:bCs/>
          <w:color w:val="auto"/>
          <w:spacing w:val="-2"/>
          <w:sz w:val="36"/>
          <w:szCs w:val="36"/>
        </w:rPr>
      </w:pPr>
      <w:r>
        <w:rPr>
          <w:rFonts w:hint="eastAsia" w:ascii="仿宋" w:hAnsi="仿宋" w:eastAsia="仿宋" w:cs="仿宋"/>
          <w:b/>
          <w:bCs/>
          <w:color w:val="auto"/>
          <w:sz w:val="36"/>
          <w:szCs w:val="36"/>
        </w:rPr>
        <w:t>多轮报价一览表</w:t>
      </w:r>
    </w:p>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（实质性要求）</w:t>
      </w:r>
    </w:p>
    <w:tbl>
      <w:tblPr>
        <w:tblStyle w:val="26"/>
        <w:tblW w:w="9098" w:type="dxa"/>
        <w:tblInd w:w="-130" w:type="dxa"/>
        <w:tblLayout w:type="fixed"/>
        <w:tblCellMar>
          <w:top w:w="0" w:type="dxa"/>
          <w:left w:w="108" w:type="dxa"/>
          <w:bottom w:w="0" w:type="dxa"/>
          <w:right w:w="108" w:type="dxa"/>
        </w:tblCellMar>
      </w:tblPr>
      <w:tblGrid>
        <w:gridCol w:w="614"/>
        <w:gridCol w:w="1790"/>
        <w:gridCol w:w="2119"/>
        <w:gridCol w:w="1125"/>
        <w:gridCol w:w="762"/>
        <w:gridCol w:w="763"/>
        <w:gridCol w:w="987"/>
        <w:gridCol w:w="938"/>
      </w:tblGrid>
      <w:tr>
        <w:tblPrEx>
          <w:tblCellMar>
            <w:top w:w="0" w:type="dxa"/>
            <w:left w:w="108" w:type="dxa"/>
            <w:bottom w:w="0" w:type="dxa"/>
            <w:right w:w="108" w:type="dxa"/>
          </w:tblCellMar>
        </w:tblPrEx>
        <w:trPr>
          <w:trHeight w:val="567" w:hRule="atLeast"/>
        </w:trPr>
        <w:tc>
          <w:tcPr>
            <w:tcW w:w="4523"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仿宋" w:hAnsi="仿宋" w:eastAsia="仿宋" w:cs="仿宋"/>
                <w:color w:val="auto"/>
                <w:sz w:val="24"/>
              </w:rPr>
            </w:pPr>
            <w:r>
              <w:rPr>
                <w:rFonts w:hint="eastAsia" w:ascii="仿宋" w:hAnsi="仿宋" w:eastAsia="仿宋" w:cs="仿宋"/>
                <w:color w:val="auto"/>
                <w:sz w:val="24"/>
              </w:rPr>
              <w:t>项目名称：</w:t>
            </w:r>
          </w:p>
        </w:tc>
        <w:tc>
          <w:tcPr>
            <w:tcW w:w="4575" w:type="dxa"/>
            <w:gridSpan w:val="5"/>
            <w:tcBorders>
              <w:top w:val="single" w:color="000000" w:sz="8" w:space="0"/>
              <w:left w:val="nil"/>
              <w:bottom w:val="single" w:color="000000" w:sz="8" w:space="0"/>
              <w:right w:val="single" w:color="000000" w:sz="8" w:space="0"/>
            </w:tcBorders>
            <w:shd w:val="clear" w:color="auto" w:fill="auto"/>
            <w:noWrap/>
            <w:vAlign w:val="center"/>
          </w:tcPr>
          <w:p>
            <w:pPr>
              <w:rPr>
                <w:rFonts w:ascii="仿宋" w:hAnsi="仿宋" w:eastAsia="仿宋" w:cs="仿宋"/>
                <w:color w:val="auto"/>
                <w:sz w:val="24"/>
              </w:rPr>
            </w:pPr>
            <w:r>
              <w:rPr>
                <w:rFonts w:hint="eastAsia" w:ascii="仿宋" w:hAnsi="仿宋" w:eastAsia="仿宋" w:cs="仿宋"/>
                <w:color w:val="auto"/>
                <w:sz w:val="24"/>
              </w:rPr>
              <w:t>项目编号：</w:t>
            </w:r>
          </w:p>
        </w:tc>
      </w:tr>
      <w:tr>
        <w:tblPrEx>
          <w:tblCellMar>
            <w:top w:w="0" w:type="dxa"/>
            <w:left w:w="108" w:type="dxa"/>
            <w:bottom w:w="0" w:type="dxa"/>
            <w:right w:w="108" w:type="dxa"/>
          </w:tblCellMar>
        </w:tblPrEx>
        <w:trPr>
          <w:trHeight w:val="567" w:hRule="atLeast"/>
        </w:trPr>
        <w:tc>
          <w:tcPr>
            <w:tcW w:w="909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报价轮次：第   轮</w:t>
            </w:r>
          </w:p>
        </w:tc>
      </w:tr>
      <w:tr>
        <w:tblPrEx>
          <w:tblCellMar>
            <w:top w:w="0" w:type="dxa"/>
            <w:left w:w="108" w:type="dxa"/>
            <w:bottom w:w="0" w:type="dxa"/>
            <w:right w:w="108" w:type="dxa"/>
          </w:tblCellMar>
        </w:tblPrEx>
        <w:trPr>
          <w:trHeight w:val="567" w:hRule="atLeast"/>
        </w:trPr>
        <w:tc>
          <w:tcPr>
            <w:tcW w:w="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维保项目</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型号</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单价限价（元）</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单位</w:t>
            </w:r>
          </w:p>
        </w:tc>
        <w:tc>
          <w:tcPr>
            <w:tcW w:w="763"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数量</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报价单价（元）</w:t>
            </w: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报价总价（元）</w:t>
            </w:r>
          </w:p>
        </w:tc>
      </w:tr>
      <w:tr>
        <w:tblPrEx>
          <w:tblCellMar>
            <w:top w:w="0" w:type="dxa"/>
            <w:left w:w="108" w:type="dxa"/>
            <w:bottom w:w="0" w:type="dxa"/>
            <w:right w:w="108" w:type="dxa"/>
          </w:tblCellMar>
        </w:tblPrEx>
        <w:trPr>
          <w:trHeight w:val="567" w:hRule="atLeast"/>
        </w:trPr>
        <w:tc>
          <w:tcPr>
            <w:tcW w:w="909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一、一期中央空调系统维保报价表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螺杆式冷水机组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LSBLG670HE/Nb</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4600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真空燃气热水锅炉</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ZRQ-60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2300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冷冻水泵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KQL100-200A</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420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热水泵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KQL80-200B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冷却水泵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KQL125-125</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全程水处理器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SYS-200B1.6JZ/D-B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压差控制阀</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DN150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贯流式空气幕</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L=900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方形横流冷却塔</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SC-175H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1900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膨胀水箱</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1000X1000X1000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螺杆式冷水机组自控制系统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1360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4100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风管管道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热泵式热回收型溶液调湿机组</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HVF-12</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18</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末端盘管及控制系统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FPG-34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FPG-51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134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FPG-68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21</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FPG-102</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70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FPG-136</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23</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FPG-170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24</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GIII-60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90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GIII-120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26</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GIII-150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27</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送风口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498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370</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29</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新风口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332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二、二期中央空调系统维保报价表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30</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变频离心式冷水机组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LSBLX600SVT</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7797</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燃气式真空热水锅炉</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ZKW1.4</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冷冻水泵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L=399T/h  H=38mH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热水泵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L=138T/h  H=37.5mHo</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冷却水泵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L=486T/h  H=34mH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全程水处理器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SYS-200B1.6JZ/D-B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420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210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210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38</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贯流式空气幕</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L=900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39</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喷雾推进通风冷却塔</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XNPWT-1000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4500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40</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膨胀水箱</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1500*1500*1000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变频离心式冷水机组自控制系统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6400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风管管道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2900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1790" w:type="dxa"/>
            <w:vMerge w:val="restart"/>
            <w:tcBorders>
              <w:top w:val="nil"/>
              <w:left w:val="nil"/>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洁净新风机组</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CYZ-08</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46</w:t>
            </w:r>
          </w:p>
        </w:tc>
        <w:tc>
          <w:tcPr>
            <w:tcW w:w="1790" w:type="dxa"/>
            <w:vMerge w:val="continue"/>
            <w:tcBorders>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CYZ-09</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47</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卧式暗装风机盘管及控制系统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FP-34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42</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FP-51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FP-68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106</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50</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FP-85</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46</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51</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FP-102</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47</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169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FP-136</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47</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220</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53</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FP-170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54</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FP-204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55</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FP-238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51</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56</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DGV1-80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57</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DGV1-90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135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DGV1-100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DGV1-120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60</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DGV1-150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61</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送风口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985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687</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63</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新风口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711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三、放射科精密空调维保报价表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64</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风冷模块机组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1250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空调循环水泵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1320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室外机组自控制系统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精密空调</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四、信息科精密空调维保报价表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70</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精密空调</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6530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五、手术室净化系统维护保养报价表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71</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18</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77</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79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情报面板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六、ICU净化系统维护保养报价表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84</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87</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89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奥揽达</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85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七、PCR实验室净化系统维护保养报价表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制冷室外机组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1150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排风净化机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1250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99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EK</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2450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560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八、消毒供应室维护保养报价表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109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265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消毒机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115</w:t>
            </w:r>
          </w:p>
        </w:tc>
        <w:tc>
          <w:tcPr>
            <w:tcW w:w="1790"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风机盘管</w:t>
            </w:r>
          </w:p>
        </w:tc>
        <w:tc>
          <w:tcPr>
            <w:tcW w:w="2119"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color w:val="auto"/>
                <w:sz w:val="24"/>
              </w:rPr>
            </w:pPr>
          </w:p>
        </w:tc>
        <w:tc>
          <w:tcPr>
            <w:tcW w:w="1125"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1650</w:t>
            </w:r>
          </w:p>
        </w:tc>
        <w:tc>
          <w:tcPr>
            <w:tcW w:w="762"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color w:val="auto"/>
                <w:sz w:val="24"/>
              </w:rPr>
            </w:pPr>
          </w:p>
        </w:tc>
        <w:tc>
          <w:tcPr>
            <w:tcW w:w="938"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116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层流净化通风系统管道</w:t>
            </w:r>
          </w:p>
        </w:tc>
        <w:tc>
          <w:tcPr>
            <w:tcW w:w="21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1150</w:t>
            </w: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报价总价（小写金额）：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元；下浮比例</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%（保留小数点后两位数）</w:t>
            </w: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rPr>
              <w:t>报价总价（大写金额）</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 xml:space="preserve">                            </w:t>
            </w:r>
          </w:p>
        </w:tc>
      </w:tr>
    </w:tbl>
    <w:p>
      <w:pPr>
        <w:spacing w:line="360" w:lineRule="auto"/>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rFonts w:ascii="仿宋" w:hAnsi="仿宋" w:eastAsia="仿宋" w:cs="仿宋"/>
          <w:bCs/>
          <w:color w:val="auto"/>
          <w:sz w:val="24"/>
        </w:rPr>
      </w:pPr>
      <w:r>
        <w:rPr>
          <w:rFonts w:hint="eastAsia" w:ascii="仿宋" w:hAnsi="仿宋" w:cs="仿宋"/>
          <w:bCs/>
          <w:color w:val="auto"/>
          <w:sz w:val="24"/>
        </w:rPr>
        <w:t>2</w:t>
      </w:r>
      <w:r>
        <w:rPr>
          <w:rFonts w:hint="eastAsia" w:ascii="仿宋" w:hAnsi="仿宋" w:eastAsia="仿宋" w:cs="仿宋"/>
          <w:bCs/>
          <w:color w:val="auto"/>
          <w:sz w:val="24"/>
        </w:rPr>
        <w:t>.特别注意：本表中价格部分建议留空，其余内容可提前填写好。</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3.本项目报价需分项报价和总价报价按照同比例下浮报价，保留小数点后两位。</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4.如不涉及多轮报价，则本表无须提交。</w:t>
      </w:r>
    </w:p>
    <w:p>
      <w:pPr>
        <w:pStyle w:val="2"/>
        <w:rPr>
          <w:color w:val="auto"/>
        </w:rPr>
      </w:pPr>
    </w:p>
    <w:p>
      <w:pPr>
        <w:rPr>
          <w:color w:val="auto"/>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Fonts w:ascii="仿宋" w:hAnsi="仿宋" w:eastAsia="仿宋" w:cs="仿宋"/>
          <w:b/>
          <w:bCs/>
          <w:color w:val="auto"/>
          <w:sz w:val="24"/>
        </w:rPr>
      </w:pPr>
      <w:r>
        <w:rPr>
          <w:rFonts w:hint="eastAsia" w:ascii="仿宋" w:hAnsi="仿宋" w:eastAsia="仿宋" w:cs="仿宋"/>
          <w:b/>
          <w:bCs/>
          <w:color w:val="auto"/>
          <w:sz w:val="24"/>
        </w:rPr>
        <w:br w:type="page"/>
      </w:r>
    </w:p>
    <w:p>
      <w:pPr>
        <w:snapToGrid w:val="0"/>
        <w:spacing w:line="360" w:lineRule="auto"/>
        <w:jc w:val="left"/>
        <w:outlineLvl w:val="2"/>
        <w:rPr>
          <w:rFonts w:ascii="仿宋" w:hAnsi="仿宋" w:eastAsia="仿宋" w:cs="仿宋"/>
          <w:bCs/>
          <w:color w:val="auto"/>
          <w:sz w:val="24"/>
          <w:szCs w:val="22"/>
        </w:rPr>
      </w:pPr>
      <w:r>
        <w:rPr>
          <w:rFonts w:hint="eastAsia" w:ascii="仿宋" w:hAnsi="仿宋" w:eastAsia="仿宋" w:cs="仿宋"/>
          <w:b/>
          <w:bCs/>
          <w:color w:val="auto"/>
          <w:sz w:val="24"/>
        </w:rPr>
        <w:t>格式3-3:最后报价一览表</w:t>
      </w:r>
    </w:p>
    <w:p>
      <w:pPr>
        <w:widowControl/>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36"/>
          <w:szCs w:val="36"/>
        </w:rPr>
        <w:t>最后报价一览表</w:t>
      </w:r>
    </w:p>
    <w:p>
      <w:pPr>
        <w:pStyle w:val="116"/>
        <w:widowControl/>
        <w:spacing w:line="480" w:lineRule="auto"/>
        <w:ind w:firstLine="0"/>
        <w:jc w:val="center"/>
        <w:rPr>
          <w:rFonts w:ascii="仿宋" w:hAnsi="仿宋" w:eastAsia="仿宋" w:cs="仿宋"/>
          <w:color w:val="auto"/>
          <w:sz w:val="24"/>
          <w:szCs w:val="24"/>
        </w:rPr>
      </w:pPr>
      <w:r>
        <w:rPr>
          <w:rFonts w:hint="eastAsia" w:ascii="仿宋" w:hAnsi="仿宋" w:eastAsia="仿宋" w:cs="仿宋"/>
          <w:color w:val="auto"/>
          <w:sz w:val="24"/>
          <w:szCs w:val="24"/>
        </w:rPr>
        <w:t>（实质性要求）</w:t>
      </w:r>
    </w:p>
    <w:tbl>
      <w:tblPr>
        <w:tblStyle w:val="26"/>
        <w:tblW w:w="9098" w:type="dxa"/>
        <w:tblInd w:w="-130" w:type="dxa"/>
        <w:tblLayout w:type="fixed"/>
        <w:tblCellMar>
          <w:top w:w="0" w:type="dxa"/>
          <w:left w:w="108" w:type="dxa"/>
          <w:bottom w:w="0" w:type="dxa"/>
          <w:right w:w="108" w:type="dxa"/>
        </w:tblCellMar>
      </w:tblPr>
      <w:tblGrid>
        <w:gridCol w:w="614"/>
        <w:gridCol w:w="1790"/>
        <w:gridCol w:w="2119"/>
        <w:gridCol w:w="1125"/>
        <w:gridCol w:w="762"/>
        <w:gridCol w:w="763"/>
        <w:gridCol w:w="987"/>
        <w:gridCol w:w="938"/>
      </w:tblGrid>
      <w:tr>
        <w:tblPrEx>
          <w:tblCellMar>
            <w:top w:w="0" w:type="dxa"/>
            <w:left w:w="108" w:type="dxa"/>
            <w:bottom w:w="0" w:type="dxa"/>
            <w:right w:w="108" w:type="dxa"/>
          </w:tblCellMar>
        </w:tblPrEx>
        <w:trPr>
          <w:trHeight w:val="567" w:hRule="atLeast"/>
        </w:trPr>
        <w:tc>
          <w:tcPr>
            <w:tcW w:w="4523"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项目名称：</w:t>
            </w:r>
          </w:p>
        </w:tc>
        <w:tc>
          <w:tcPr>
            <w:tcW w:w="4575" w:type="dxa"/>
            <w:gridSpan w:val="5"/>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项目编号：</w:t>
            </w:r>
          </w:p>
        </w:tc>
      </w:tr>
      <w:tr>
        <w:tblPrEx>
          <w:tblCellMar>
            <w:top w:w="0" w:type="dxa"/>
            <w:left w:w="108" w:type="dxa"/>
            <w:bottom w:w="0" w:type="dxa"/>
            <w:right w:w="108" w:type="dxa"/>
          </w:tblCellMar>
        </w:tblPrEx>
        <w:trPr>
          <w:trHeight w:val="567" w:hRule="atLeast"/>
        </w:trPr>
        <w:tc>
          <w:tcPr>
            <w:tcW w:w="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序号</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维保项目</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型号</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单价限价（元）</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单位</w:t>
            </w:r>
          </w:p>
        </w:tc>
        <w:tc>
          <w:tcPr>
            <w:tcW w:w="763"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数量</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报价单价（元）</w:t>
            </w: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报价总价（元）</w:t>
            </w:r>
          </w:p>
        </w:tc>
      </w:tr>
      <w:tr>
        <w:tblPrEx>
          <w:tblCellMar>
            <w:top w:w="0" w:type="dxa"/>
            <w:left w:w="108" w:type="dxa"/>
            <w:bottom w:w="0" w:type="dxa"/>
            <w:right w:w="108" w:type="dxa"/>
          </w:tblCellMar>
        </w:tblPrEx>
        <w:trPr>
          <w:trHeight w:val="567" w:hRule="atLeast"/>
        </w:trPr>
        <w:tc>
          <w:tcPr>
            <w:tcW w:w="909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一、一期中央空调系统维保报价表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螺杆式冷水机组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LSBLG670HE/Nb</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4600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真空燃气热水锅炉</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ZRQ-60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2300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KQL100-200A</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420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热水泵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KQL80-200B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冷却水泵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KQL125-125</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全程水处理器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SYS-200B1.6JZ/D-B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压差控制阀</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DN150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贯流式空气幕</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L=900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方形横流冷却塔</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SC-175H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1900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膨胀水箱</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1000X1000X1000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螺杆式冷水机组自控制系统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4100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风管管道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热泵式热回收型溶液调湿机组</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HVF-12</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18</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末端盘管及控制系统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FPG-34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FPG-51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20</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FPG-68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21</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FPG-102</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FPG-136</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23</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FPG-170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24</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GIII-60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25</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GIII-120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GIII-150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27</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送风口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498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370</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29</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新风口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332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二、二期中央空调系统维保报价表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30</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变频离心式冷水机组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LSBLX600SVT</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7797</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燃气式真空热水锅炉</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ZKW1.4</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L=399T/h  H=38mH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热水泵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L=138T/h  H=37.5mHo</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冷却水泵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L=486T/h  H=34mH</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全程水处理器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SYS-200B1.6JZ/D-B</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420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36</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210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集水器</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210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38</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贯流式空气幕</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L=900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39</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喷雾推进通风冷却塔</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XNPWT-1000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40</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膨胀水箱</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1500*1500*1000</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41</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变频离心式冷水机组自控制系统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42</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6400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43</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风管管道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6200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44</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冷凝水系统管道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2900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1790" w:type="dxa"/>
            <w:vMerge w:val="restart"/>
            <w:tcBorders>
              <w:top w:val="nil"/>
              <w:left w:val="nil"/>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洁净新风机组</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CYZ-08</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660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46</w:t>
            </w:r>
          </w:p>
        </w:tc>
        <w:tc>
          <w:tcPr>
            <w:tcW w:w="1790" w:type="dxa"/>
            <w:vMerge w:val="continue"/>
            <w:tcBorders>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CYZ-09</w:t>
            </w: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47</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卧式暗装风机盘管及控制系统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FP-34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42</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FP-51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FP-68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106</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50</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FP-85</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46</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51</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FP-102</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47</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169</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FP-136</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47</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220</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53</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FP-170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54</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FP-204</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49</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33</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55</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FP-238</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51</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56</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吊顶式空调机组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DGV1-80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57</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DGV1-90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58</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DGV1-100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59</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DGV1-120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60</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DGV1-150</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61</w:t>
            </w:r>
          </w:p>
        </w:tc>
        <w:tc>
          <w:tcPr>
            <w:tcW w:w="1790" w:type="dxa"/>
            <w:vMerge w:val="restart"/>
            <w:tcBorders>
              <w:top w:val="nil"/>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风口回风网清洗消毒</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送风口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985</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62</w:t>
            </w:r>
          </w:p>
        </w:tc>
        <w:tc>
          <w:tcPr>
            <w:tcW w:w="1790" w:type="dxa"/>
            <w:vMerge w:val="continue"/>
            <w:tcBorders>
              <w:left w:val="nil"/>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回风口及滤网</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687</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63</w:t>
            </w:r>
          </w:p>
        </w:tc>
        <w:tc>
          <w:tcPr>
            <w:tcW w:w="1790" w:type="dxa"/>
            <w:vMerge w:val="continue"/>
            <w:tcBorders>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新风口</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711</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三、放射科精密空调维保报价表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64</w:t>
            </w:r>
          </w:p>
        </w:tc>
        <w:tc>
          <w:tcPr>
            <w:tcW w:w="179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风冷模块机组</w:t>
            </w:r>
          </w:p>
        </w:tc>
        <w:tc>
          <w:tcPr>
            <w:tcW w:w="211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1250</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65</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空调循环水泵</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67</w:t>
            </w:r>
          </w:p>
        </w:tc>
        <w:tc>
          <w:tcPr>
            <w:tcW w:w="179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1320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室外机组自控制系统</w:t>
            </w:r>
          </w:p>
        </w:tc>
        <w:tc>
          <w:tcPr>
            <w:tcW w:w="211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精密空调</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四、信息科精密空调维保报价表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70</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精密空调</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6530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五、手术室净化系统维护保养报价表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71</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18</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77</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79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情报面板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六、ICU净化系统维护保养报价表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84</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87</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奥揽达</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85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层流净化通风系统管道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七、PCR实验室净化系统维护保养报价表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制冷室外机组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EK</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1150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排风净化机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EK</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1250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99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组合式空气处理机组</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EK</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2450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加湿器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紫外线杀菌系统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电加热器</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净化机组智控系统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105</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净化机组控制面板</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173</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套</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106</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八、消毒供应室维护保养报价表</w:t>
            </w: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107</w:t>
            </w:r>
          </w:p>
        </w:tc>
        <w:tc>
          <w:tcPr>
            <w:tcW w:w="1790"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65KW风冷模块机组</w:t>
            </w:r>
          </w:p>
        </w:tc>
        <w:tc>
          <w:tcPr>
            <w:tcW w:w="211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海尔LSQWRF65/R2Y</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1000</w:t>
            </w:r>
          </w:p>
        </w:tc>
        <w:tc>
          <w:tcPr>
            <w:tcW w:w="762"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w:t>
            </w:r>
          </w:p>
        </w:tc>
        <w:tc>
          <w:tcPr>
            <w:tcW w:w="9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108</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排风机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KTW2801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488</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109</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制冷设备自控制系统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AHU-01</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280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5</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110</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空调水泵</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15KW</w:t>
            </w: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265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111</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补水箱</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300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112</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冷冻水系统管道</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113</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消毒机</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140</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台</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114</w:t>
            </w:r>
          </w:p>
        </w:tc>
        <w:tc>
          <w:tcPr>
            <w:tcW w:w="179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电气和弱电控制系统</w:t>
            </w:r>
          </w:p>
        </w:tc>
        <w:tc>
          <w:tcPr>
            <w:tcW w:w="2119"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155</w:t>
            </w:r>
          </w:p>
        </w:tc>
        <w:tc>
          <w:tcPr>
            <w:tcW w:w="762"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115</w:t>
            </w:r>
          </w:p>
        </w:tc>
        <w:tc>
          <w:tcPr>
            <w:tcW w:w="1790"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风机盘管</w:t>
            </w:r>
          </w:p>
        </w:tc>
        <w:tc>
          <w:tcPr>
            <w:tcW w:w="2119"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1650</w:t>
            </w:r>
          </w:p>
        </w:tc>
        <w:tc>
          <w:tcPr>
            <w:tcW w:w="762" w:type="dxa"/>
            <w:tcBorders>
              <w:top w:val="nil"/>
              <w:left w:val="nil"/>
              <w:bottom w:val="single" w:color="auto" w:sz="4" w:space="0"/>
              <w:right w:val="single" w:color="000000" w:sz="8"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nil"/>
              <w:left w:val="nil"/>
              <w:bottom w:val="single" w:color="auto" w:sz="4" w:space="0"/>
              <w:right w:val="single" w:color="000000" w:sz="8"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层流净化通风系统管道</w:t>
            </w:r>
          </w:p>
        </w:tc>
        <w:tc>
          <w:tcPr>
            <w:tcW w:w="21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Cs/>
                <w:color w:val="auto"/>
                <w:sz w:val="24"/>
                <w:szCs w:val="22"/>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1150</w:t>
            </w: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项</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auto"/>
                <w:sz w:val="24"/>
                <w:szCs w:val="22"/>
              </w:rPr>
            </w:pPr>
            <w:r>
              <w:rPr>
                <w:rFonts w:hint="eastAsia" w:ascii="仿宋" w:hAnsi="仿宋" w:eastAsia="仿宋" w:cs="仿宋"/>
                <w:bCs/>
                <w:color w:val="auto"/>
                <w:sz w:val="24"/>
                <w:szCs w:val="22"/>
              </w:rPr>
              <w:t>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auto"/>
                <w:sz w:val="24"/>
                <w:szCs w:val="22"/>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auto"/>
                <w:sz w:val="24"/>
                <w:szCs w:val="22"/>
              </w:rPr>
            </w:pP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报价总价（小写金额）：</w:t>
            </w:r>
            <w:r>
              <w:rPr>
                <w:rFonts w:hint="eastAsia" w:ascii="仿宋" w:hAnsi="仿宋" w:eastAsia="仿宋" w:cs="仿宋"/>
                <w:bCs/>
                <w:color w:val="auto"/>
                <w:sz w:val="24"/>
                <w:szCs w:val="22"/>
                <w:u w:val="single"/>
                <w:lang w:val="en-US" w:eastAsia="zh-CN"/>
              </w:rPr>
              <w:t xml:space="preserve">            </w:t>
            </w:r>
            <w:r>
              <w:rPr>
                <w:rFonts w:hint="eastAsia" w:ascii="仿宋" w:hAnsi="仿宋" w:eastAsia="仿宋" w:cs="仿宋"/>
                <w:bCs/>
                <w:color w:val="auto"/>
                <w:sz w:val="24"/>
                <w:szCs w:val="22"/>
              </w:rPr>
              <w:t>元；下浮比例</w:t>
            </w:r>
            <w:r>
              <w:rPr>
                <w:rFonts w:hint="eastAsia" w:ascii="仿宋" w:hAnsi="仿宋" w:eastAsia="仿宋" w:cs="仿宋"/>
                <w:bCs/>
                <w:color w:val="auto"/>
                <w:sz w:val="24"/>
                <w:szCs w:val="22"/>
                <w:u w:val="single"/>
                <w:lang w:val="en-US" w:eastAsia="zh-CN"/>
              </w:rPr>
              <w:t xml:space="preserve">     </w:t>
            </w:r>
            <w:r>
              <w:rPr>
                <w:rFonts w:hint="eastAsia" w:ascii="仿宋" w:hAnsi="仿宋" w:eastAsia="仿宋" w:cs="仿宋"/>
                <w:bCs/>
                <w:color w:val="auto"/>
                <w:sz w:val="24"/>
                <w:szCs w:val="22"/>
              </w:rPr>
              <w:t>%（保留小数点后两位数）</w:t>
            </w:r>
          </w:p>
        </w:tc>
      </w:tr>
      <w:tr>
        <w:tblPrEx>
          <w:tblCellMar>
            <w:top w:w="0" w:type="dxa"/>
            <w:left w:w="108" w:type="dxa"/>
            <w:bottom w:w="0" w:type="dxa"/>
            <w:right w:w="108" w:type="dxa"/>
          </w:tblCellMar>
        </w:tblPrEx>
        <w:trPr>
          <w:trHeight w:val="567" w:hRule="atLeast"/>
        </w:trPr>
        <w:tc>
          <w:tcPr>
            <w:tcW w:w="90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rPr>
              <w:t>报价总价（大写金额）：</w:t>
            </w:r>
            <w:r>
              <w:rPr>
                <w:rFonts w:hint="eastAsia" w:ascii="仿宋" w:hAnsi="仿宋" w:eastAsia="仿宋" w:cs="仿宋"/>
                <w:bCs/>
                <w:color w:val="auto"/>
                <w:sz w:val="24"/>
                <w:szCs w:val="22"/>
                <w:u w:val="single"/>
                <w:lang w:val="en-US" w:eastAsia="zh-CN"/>
              </w:rPr>
              <w:t xml:space="preserve">                              </w:t>
            </w:r>
          </w:p>
        </w:tc>
      </w:tr>
    </w:tbl>
    <w:p>
      <w:pPr>
        <w:spacing w:line="360" w:lineRule="auto"/>
        <w:rPr>
          <w:rFonts w:ascii="仿宋" w:hAnsi="仿宋" w:eastAsia="仿宋" w:cs="仿宋"/>
          <w:bCs/>
          <w:color w:val="auto"/>
          <w:sz w:val="24"/>
          <w:szCs w:val="22"/>
        </w:rPr>
      </w:pPr>
    </w:p>
    <w:p>
      <w:pPr>
        <w:spacing w:line="360" w:lineRule="auto"/>
        <w:rPr>
          <w:rFonts w:ascii="仿宋" w:hAnsi="仿宋" w:eastAsia="仿宋" w:cs="仿宋"/>
          <w:color w:val="auto"/>
          <w:sz w:val="24"/>
        </w:rPr>
      </w:pPr>
      <w:r>
        <w:rPr>
          <w:rFonts w:hint="eastAsia" w:ascii="仿宋" w:hAnsi="仿宋" w:eastAsia="仿宋" w:cs="仿宋"/>
          <w:bCs/>
          <w:color w:val="auto"/>
          <w:sz w:val="24"/>
          <w:szCs w:val="22"/>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pStyle w:val="116"/>
        <w:numPr>
          <w:ilvl w:val="0"/>
          <w:numId w:val="3"/>
        </w:numPr>
        <w:ind w:firstLine="480" w:firstLineChars="200"/>
        <w:rPr>
          <w:rFonts w:ascii="仿宋" w:hAnsi="仿宋" w:eastAsia="仿宋" w:cs="仿宋"/>
          <w:bCs/>
          <w:color w:val="auto"/>
          <w:sz w:val="24"/>
        </w:rPr>
      </w:pPr>
      <w:r>
        <w:rPr>
          <w:rFonts w:hint="eastAsia" w:ascii="仿宋" w:hAnsi="仿宋" w:eastAsia="仿宋" w:cs="仿宋"/>
          <w:bCs/>
          <w:color w:val="auto"/>
          <w:sz w:val="24"/>
        </w:rPr>
        <w:t>本项目报价需分项报价和总价报价按照同比例下浮报价，保留小数点后两位。</w:t>
      </w:r>
    </w:p>
    <w:p>
      <w:pPr>
        <w:pStyle w:val="116"/>
        <w:numPr>
          <w:ilvl w:val="0"/>
          <w:numId w:val="3"/>
        </w:numPr>
        <w:ind w:firstLine="480" w:firstLineChars="200"/>
        <w:rPr>
          <w:rFonts w:ascii="仿宋" w:hAnsi="仿宋" w:eastAsia="仿宋" w:cs="仿宋"/>
          <w:bCs/>
          <w:color w:val="auto"/>
          <w:sz w:val="24"/>
        </w:rPr>
      </w:pPr>
      <w:r>
        <w:rPr>
          <w:rFonts w:hint="eastAsia" w:ascii="仿宋" w:hAnsi="仿宋" w:eastAsia="仿宋" w:cs="仿宋"/>
          <w:bCs/>
          <w:color w:val="auto"/>
          <w:sz w:val="24"/>
        </w:rPr>
        <w:t>特别注意：本表中价格部分建议留空，其余内容可提前填写好。</w:t>
      </w:r>
    </w:p>
    <w:p>
      <w:pPr>
        <w:pStyle w:val="116"/>
        <w:ind w:firstLine="480" w:firstLineChars="200"/>
        <w:rPr>
          <w:rFonts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bookmarkEnd w:id="118"/>
      <w:bookmarkEnd w:id="119"/>
      <w:bookmarkStart w:id="120" w:name="_Toc25789"/>
      <w:bookmarkStart w:id="121" w:name="_Toc25006"/>
      <w:bookmarkStart w:id="122" w:name="_Toc14104"/>
      <w:bookmarkStart w:id="123" w:name="_Toc17388"/>
      <w:r>
        <w:rPr>
          <w:rFonts w:hint="eastAsia" w:ascii="仿宋" w:hAnsi="仿宋" w:eastAsia="仿宋" w:cs="仿宋"/>
          <w:bCs/>
          <w:color w:val="auto"/>
          <w:sz w:val="24"/>
        </w:rPr>
        <w:t>：</w:t>
      </w:r>
    </w:p>
    <w:p>
      <w:pPr>
        <w:rPr>
          <w:rFonts w:ascii="仿宋" w:hAnsi="仿宋" w:eastAsia="仿宋" w:cs="仿宋"/>
          <w:bCs/>
          <w:color w:val="auto"/>
          <w:sz w:val="24"/>
        </w:rPr>
      </w:pPr>
      <w:r>
        <w:rPr>
          <w:rFonts w:hint="eastAsia" w:ascii="仿宋" w:hAnsi="仿宋" w:eastAsia="仿宋" w:cs="仿宋"/>
          <w:bCs/>
          <w:color w:val="auto"/>
          <w:sz w:val="24"/>
        </w:rPr>
        <w:br w:type="page"/>
      </w:r>
    </w:p>
    <w:p>
      <w:pPr>
        <w:snapToGrid w:val="0"/>
        <w:spacing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第四部分“电子文档”格式</w:t>
      </w:r>
    </w:p>
    <w:p>
      <w:pPr>
        <w:pStyle w:val="2"/>
        <w:rPr>
          <w:color w:val="auto"/>
        </w:rPr>
      </w:pPr>
    </w:p>
    <w:p>
      <w:pPr>
        <w:tabs>
          <w:tab w:val="left" w:leader="dot" w:pos="7380"/>
        </w:tabs>
        <w:snapToGrid w:val="0"/>
        <w:spacing w:line="324" w:lineRule="auto"/>
        <w:outlineLvl w:val="2"/>
        <w:rPr>
          <w:rFonts w:ascii="仿宋" w:hAnsi="仿宋" w:eastAsia="仿宋" w:cs="仿宋"/>
          <w:b/>
          <w:bCs/>
          <w:color w:val="auto"/>
          <w:sz w:val="30"/>
          <w:szCs w:val="30"/>
        </w:rPr>
      </w:pPr>
      <w:r>
        <w:rPr>
          <w:rFonts w:hint="eastAsia" w:ascii="仿宋" w:hAnsi="仿宋" w:eastAsia="仿宋" w:cs="仿宋"/>
          <w:b/>
          <w:bCs/>
          <w:color w:val="auto"/>
          <w:sz w:val="24"/>
        </w:rPr>
        <w:t>格式4-1:电子文档封面</w:t>
      </w:r>
    </w:p>
    <w:p>
      <w:pPr>
        <w:tabs>
          <w:tab w:val="left" w:leader="dot" w:pos="7380"/>
        </w:tabs>
        <w:snapToGrid w:val="0"/>
        <w:spacing w:line="324" w:lineRule="auto"/>
        <w:jc w:val="left"/>
        <w:rPr>
          <w:rFonts w:ascii="仿宋" w:hAnsi="仿宋" w:eastAsia="仿宋" w:cs="仿宋"/>
          <w:b/>
          <w:bCs/>
          <w:color w:val="auto"/>
          <w:sz w:val="32"/>
          <w:szCs w:val="32"/>
        </w:rPr>
      </w:pPr>
    </w:p>
    <w:p>
      <w:pPr>
        <w:pStyle w:val="2"/>
        <w:rPr>
          <w:color w:val="auto"/>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spacing w:line="324" w:lineRule="auto"/>
        <w:jc w:val="left"/>
        <w:rPr>
          <w:rFonts w:ascii="仿宋" w:hAnsi="仿宋" w:eastAsia="仿宋" w:cs="仿宋"/>
          <w:b/>
          <w:bCs/>
          <w:color w:val="auto"/>
          <w:sz w:val="32"/>
          <w:szCs w:val="32"/>
        </w:rPr>
      </w:pPr>
    </w:p>
    <w:p>
      <w:pPr>
        <w:tabs>
          <w:tab w:val="left" w:leader="dot" w:pos="7380"/>
        </w:tabs>
        <w:snapToGrid w:val="0"/>
        <w:jc w:val="center"/>
        <w:rPr>
          <w:rFonts w:ascii="仿宋" w:hAnsi="仿宋" w:eastAsia="仿宋" w:cs="仿宋"/>
          <w:b/>
          <w:bCs/>
          <w:color w:val="auto"/>
          <w:sz w:val="84"/>
          <w:szCs w:val="84"/>
        </w:rPr>
      </w:pPr>
      <w:r>
        <w:rPr>
          <w:rFonts w:hint="eastAsia" w:ascii="仿宋" w:hAnsi="仿宋" w:eastAsia="仿宋" w:cs="仿宋"/>
          <w:b/>
          <w:bCs/>
          <w:color w:val="auto"/>
          <w:sz w:val="84"/>
          <w:szCs w:val="84"/>
        </w:rPr>
        <w:t>电子文档</w:t>
      </w:r>
    </w:p>
    <w:p>
      <w:pPr>
        <w:tabs>
          <w:tab w:val="left" w:leader="dot" w:pos="7380"/>
        </w:tabs>
        <w:snapToGrid w:val="0"/>
        <w:spacing w:line="324" w:lineRule="auto"/>
        <w:jc w:val="center"/>
        <w:rPr>
          <w:rFonts w:ascii="仿宋" w:hAnsi="仿宋" w:eastAsia="仿宋" w:cs="仿宋"/>
          <w:b/>
          <w:bCs/>
          <w:color w:val="auto"/>
          <w:sz w:val="32"/>
          <w:szCs w:val="32"/>
        </w:rPr>
      </w:pPr>
    </w:p>
    <w:p>
      <w:pPr>
        <w:tabs>
          <w:tab w:val="left" w:leader="dot" w:pos="7380"/>
        </w:tabs>
        <w:snapToGrid w:val="0"/>
        <w:spacing w:line="324" w:lineRule="auto"/>
        <w:jc w:val="center"/>
        <w:rPr>
          <w:rFonts w:ascii="仿宋" w:hAnsi="仿宋" w:eastAsia="仿宋" w:cs="仿宋"/>
          <w:b/>
          <w:bCs/>
          <w:color w:val="auto"/>
          <w:sz w:val="32"/>
          <w:szCs w:val="32"/>
        </w:rPr>
      </w:pPr>
    </w:p>
    <w:p>
      <w:pPr>
        <w:tabs>
          <w:tab w:val="left" w:pos="4005"/>
          <w:tab w:val="left" w:leader="dot" w:pos="7380"/>
        </w:tabs>
        <w:snapToGrid w:val="0"/>
        <w:spacing w:line="324" w:lineRule="auto"/>
        <w:rPr>
          <w:rFonts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项目名称：</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rPr>
        <w:t>项目编号：</w:t>
      </w: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jc w:val="left"/>
        <w:rPr>
          <w:rFonts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tabs>
          <w:tab w:val="left" w:leader="dot" w:pos="7380"/>
        </w:tabs>
        <w:snapToGrid w:val="0"/>
        <w:spacing w:line="360" w:lineRule="auto"/>
        <w:ind w:firstLine="643" w:firstLineChars="200"/>
        <w:jc w:val="left"/>
        <w:rPr>
          <w:rFonts w:ascii="仿宋" w:hAnsi="仿宋" w:eastAsia="仿宋" w:cs="仿宋"/>
          <w:b/>
          <w:bCs/>
          <w:color w:val="auto"/>
          <w:sz w:val="32"/>
          <w:szCs w:val="32"/>
        </w:rPr>
        <w:sectPr>
          <w:headerReference r:id="rId13" w:type="first"/>
          <w:footerReference r:id="rId15" w:type="first"/>
          <w:headerReference r:id="rId12" w:type="default"/>
          <w:footerReference r:id="rId14" w:type="default"/>
          <w:pgSz w:w="11906" w:h="16838"/>
          <w:pgMar w:top="1134" w:right="1755" w:bottom="1134" w:left="1531" w:header="851" w:footer="850" w:gutter="0"/>
          <w:cols w:space="720" w:num="1"/>
          <w:titlePg/>
          <w:docGrid w:linePitch="312" w:charSpace="0"/>
        </w:sectPr>
      </w:pPr>
      <w:r>
        <w:rPr>
          <w:rFonts w:hint="eastAsia" w:ascii="仿宋" w:hAnsi="仿宋" w:eastAsia="仿宋" w:cs="仿宋"/>
          <w:b/>
          <w:bCs/>
          <w:color w:val="auto"/>
          <w:sz w:val="32"/>
          <w:szCs w:val="32"/>
        </w:rPr>
        <w:t>日期：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pPr>
        <w:spacing w:afterLines="100"/>
        <w:jc w:val="center"/>
        <w:outlineLvl w:val="0"/>
        <w:rPr>
          <w:rFonts w:ascii="仿宋" w:hAnsi="仿宋" w:eastAsia="仿宋" w:cs="仿宋"/>
          <w:b/>
          <w:color w:val="auto"/>
          <w:sz w:val="36"/>
          <w:szCs w:val="36"/>
        </w:rPr>
      </w:pPr>
      <w:bookmarkStart w:id="124" w:name="_Toc5293"/>
      <w:bookmarkStart w:id="125" w:name="_Toc26224"/>
      <w:r>
        <w:rPr>
          <w:rFonts w:hint="eastAsia" w:ascii="仿宋" w:hAnsi="仿宋" w:eastAsia="仿宋" w:cs="仿宋"/>
          <w:b/>
          <w:color w:val="auto"/>
          <w:sz w:val="36"/>
          <w:szCs w:val="36"/>
        </w:rPr>
        <w:t>第八章 评审办法</w:t>
      </w:r>
      <w:bookmarkEnd w:id="120"/>
      <w:bookmarkEnd w:id="121"/>
      <w:bookmarkEnd w:id="122"/>
      <w:bookmarkEnd w:id="123"/>
      <w:bookmarkEnd w:id="124"/>
      <w:bookmarkEnd w:id="125"/>
    </w:p>
    <w:p>
      <w:pPr>
        <w:numPr>
          <w:ilvl w:val="255"/>
          <w:numId w:val="0"/>
        </w:numPr>
        <w:spacing w:beforeLines="100" w:afterLines="100" w:line="400" w:lineRule="exact"/>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一、总则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1.根据本项目特点制定本评审办法。</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2.评审工作由采购代理机构负责组织，具体评审事务由采购代理机构依法组建的评审委员会负责。评审委员会由采购人代表和有关技术、经济等方面的专家组成。</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3.评审工作应遵循公平、公正、同时兼顾充分满足采购需求、保证采购项目质量的原则。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4.评审委员会按照谈判文件规定的评审方法和标准进行评审，并独立履行下列职责：</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（1）熟悉和理解谈判文件；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（2）审查供应商响应文件等是否满足谈判文件要求，并作出评价；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（3）根据需要要求采购单位对谈判文件作出解释；根据需要要求供应商对响应文件有关事项作出澄清、说明或者更正；</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（4）推荐成交候选供应商，或者受采购人委托确定成交供应商；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（5）起草评审报告并进行签署；</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（6）向采购单位或者其他监督部门报告非法干预评审工作的行为；</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（7）法律、法规和规章规定的其他职责。</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5.评审过程独立、保密。供应商非法干预评审过程的行为将导致其响应文件作为无效文件处理。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6.评审委员会评价响应文件的实质性，对于供应商人而言，除评审委员会要求其澄清、说明或者更正而提供的资料外，仅依据响应文件本身的内容，不寻求其他外部证据。</w:t>
      </w:r>
    </w:p>
    <w:p>
      <w:pPr>
        <w:numPr>
          <w:ilvl w:val="0"/>
          <w:numId w:val="4"/>
        </w:numPr>
        <w:spacing w:beforeLines="100" w:afterLines="100" w:line="360" w:lineRule="auto"/>
        <w:jc w:val="center"/>
        <w:outlineLvl w:val="1"/>
        <w:rPr>
          <w:rFonts w:ascii="仿宋" w:hAnsi="仿宋" w:eastAsia="仿宋" w:cs="仿宋"/>
          <w:b/>
          <w:color w:val="auto"/>
          <w:sz w:val="30"/>
          <w:szCs w:val="30"/>
        </w:rPr>
      </w:pPr>
      <w:bookmarkStart w:id="126" w:name="_Toc2136"/>
      <w:bookmarkStart w:id="127" w:name="_Toc2492_WPSOffice_Level2"/>
      <w:bookmarkStart w:id="128" w:name="_Toc26115_WPSOffice_Level2"/>
      <w:r>
        <w:rPr>
          <w:rFonts w:hint="eastAsia" w:ascii="仿宋" w:hAnsi="仿宋" w:eastAsia="仿宋" w:cs="仿宋"/>
          <w:b/>
          <w:color w:val="auto"/>
          <w:sz w:val="30"/>
          <w:szCs w:val="30"/>
        </w:rPr>
        <w:t>评审方法</w:t>
      </w:r>
      <w:bookmarkEnd w:id="126"/>
      <w:bookmarkEnd w:id="127"/>
      <w:bookmarkEnd w:id="128"/>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7.本项目评审方法</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最低评标价法：</w:t>
      </w:r>
      <w:r>
        <w:rPr>
          <w:rFonts w:hint="eastAsia" w:ascii="仿宋" w:hAnsi="仿宋" w:eastAsia="仿宋" w:cs="仿宋"/>
          <w:bCs/>
          <w:color w:val="auto"/>
          <w:sz w:val="24"/>
        </w:rPr>
        <w:t>最低评标价法是指响应文件满足竞争性谈判文件全部实质性要求且报价最低的供应商为成交供应商的评审方法。</w:t>
      </w:r>
      <w:r>
        <w:rPr>
          <w:rFonts w:hint="eastAsia" w:ascii="仿宋" w:hAnsi="仿宋" w:eastAsia="仿宋" w:cs="仿宋"/>
          <w:color w:val="auto"/>
          <w:sz w:val="24"/>
        </w:rPr>
        <w:t>最低报价相同的，以抽签方式确定成交供应商；抽签顺序为供应商签到顺序。</w:t>
      </w:r>
    </w:p>
    <w:p>
      <w:pPr>
        <w:pStyle w:val="6"/>
        <w:keepNext w:val="0"/>
        <w:spacing w:beforeLines="100" w:afterLines="100" w:line="360" w:lineRule="auto"/>
        <w:jc w:val="center"/>
        <w:rPr>
          <w:rFonts w:ascii="仿宋" w:hAnsi="仿宋" w:eastAsia="仿宋"/>
          <w:color w:val="auto"/>
          <w:sz w:val="30"/>
          <w:szCs w:val="30"/>
        </w:rPr>
      </w:pPr>
      <w:r>
        <w:rPr>
          <w:rFonts w:hint="eastAsia" w:ascii="仿宋" w:hAnsi="仿宋" w:eastAsia="仿宋" w:cs="仿宋"/>
          <w:color w:val="auto"/>
          <w:sz w:val="30"/>
          <w:szCs w:val="30"/>
        </w:rPr>
        <w:t>三、谈判程序</w:t>
      </w:r>
    </w:p>
    <w:p>
      <w:pPr>
        <w:spacing w:line="360" w:lineRule="auto"/>
        <w:ind w:firstLine="482" w:firstLineChars="200"/>
        <w:rPr>
          <w:rFonts w:ascii="仿宋" w:hAnsi="仿宋" w:eastAsia="仿宋"/>
          <w:b/>
          <w:color w:val="auto"/>
          <w:sz w:val="24"/>
        </w:rPr>
      </w:pPr>
      <w:r>
        <w:rPr>
          <w:rFonts w:hint="eastAsia" w:ascii="仿宋" w:hAnsi="仿宋" w:eastAsia="仿宋" w:cs="仿宋"/>
          <w:b/>
          <w:color w:val="auto"/>
          <w:sz w:val="24"/>
        </w:rPr>
        <w:t>8.审查谈判文件和停止评审</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8.</w:t>
      </w:r>
      <w:r>
        <w:rPr>
          <w:rFonts w:ascii="仿宋" w:hAnsi="仿宋" w:eastAsia="仿宋" w:cs="仿宋"/>
          <w:color w:val="auto"/>
          <w:sz w:val="24"/>
        </w:rPr>
        <w:t>1</w:t>
      </w:r>
      <w:r>
        <w:rPr>
          <w:rFonts w:hint="eastAsia" w:ascii="仿宋" w:hAnsi="仿宋" w:eastAsia="仿宋" w:cs="仿宋"/>
          <w:color w:val="auto"/>
          <w:sz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8.</w:t>
      </w:r>
      <w:r>
        <w:rPr>
          <w:rFonts w:ascii="仿宋" w:hAnsi="仿宋" w:eastAsia="仿宋" w:cs="仿宋"/>
          <w:color w:val="auto"/>
          <w:sz w:val="24"/>
        </w:rPr>
        <w:t>2</w:t>
      </w:r>
      <w:r>
        <w:rPr>
          <w:rFonts w:hint="eastAsia" w:ascii="仿宋" w:hAnsi="仿宋" w:eastAsia="仿宋" w:cs="仿宋"/>
          <w:color w:val="auto"/>
          <w:sz w:val="24"/>
        </w:rPr>
        <w:t>本谈判文件有下列情形之一的，谈判小组应当停止评审：</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）谈判文件的规定存在歧义、重大缺陷，导致评审无法进行的；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）谈判文件明显以不合理条件对供应商实行差别待遇或者歧视待遇的；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）采购项目属于国家规定的优先、强制采购范围，但是谈判文件未依法体现优先、强制采购相关规定的；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）采购项目属于政府采购促进中小企业发展的范围，但是谈判文件未依法体现促进中小企业发展相关规定的；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）谈判文件载明的成交原则不合法的；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6</w:t>
      </w:r>
      <w:r>
        <w:rPr>
          <w:rFonts w:hint="eastAsia" w:ascii="仿宋" w:hAnsi="仿宋" w:eastAsia="仿宋" w:cs="仿宋"/>
          <w:color w:val="auto"/>
          <w:sz w:val="24"/>
        </w:rPr>
        <w:t>）谈判文件有违反国家其他有关强制性规定的情形。</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w:t>
      </w:r>
      <w:r>
        <w:rPr>
          <w:rFonts w:ascii="仿宋" w:hAnsi="仿宋" w:eastAsia="仿宋" w:cs="仿宋"/>
          <w:color w:val="auto"/>
          <w:sz w:val="24"/>
        </w:rPr>
        <w:t>.3</w:t>
      </w:r>
      <w:r>
        <w:rPr>
          <w:rFonts w:hint="eastAsia" w:ascii="仿宋" w:hAnsi="仿宋" w:eastAsia="仿宋" w:cs="仿宋"/>
          <w:color w:val="auto"/>
          <w:sz w:val="24"/>
        </w:rPr>
        <w:t>出现本章8</w:t>
      </w:r>
      <w:r>
        <w:rPr>
          <w:rFonts w:ascii="仿宋" w:hAnsi="仿宋" w:eastAsia="仿宋" w:cs="仿宋"/>
          <w:color w:val="auto"/>
          <w:sz w:val="24"/>
        </w:rPr>
        <w:t>.2</w:t>
      </w:r>
      <w:r>
        <w:rPr>
          <w:rFonts w:hint="eastAsia" w:ascii="仿宋" w:hAnsi="仿宋" w:eastAsia="仿宋" w:cs="仿宋"/>
          <w:color w:val="auto"/>
          <w:sz w:val="24"/>
        </w:rPr>
        <w:t>规定应当停止评审情形的，谈判小组应当向采购组织单位书面书面说明情况。除8</w:t>
      </w:r>
      <w:r>
        <w:rPr>
          <w:rFonts w:ascii="仿宋" w:hAnsi="仿宋" w:eastAsia="仿宋" w:cs="仿宋"/>
          <w:color w:val="auto"/>
          <w:sz w:val="24"/>
        </w:rPr>
        <w:t>.2</w:t>
      </w:r>
      <w:r>
        <w:rPr>
          <w:rFonts w:hint="eastAsia" w:ascii="仿宋" w:hAnsi="仿宋" w:eastAsia="仿宋" w:cs="仿宋"/>
          <w:color w:val="auto"/>
          <w:sz w:val="24"/>
        </w:rPr>
        <w:t>规定的情形外，谈判小组不得以任何方式和理由停止评审。</w:t>
      </w:r>
    </w:p>
    <w:p>
      <w:pPr>
        <w:pStyle w:val="2"/>
        <w:spacing w:line="360" w:lineRule="auto"/>
        <w:rPr>
          <w:color w:val="auto"/>
        </w:rPr>
      </w:pPr>
    </w:p>
    <w:p>
      <w:pPr>
        <w:widowControl/>
        <w:spacing w:line="360" w:lineRule="auto"/>
        <w:ind w:firstLine="482" w:firstLineChars="200"/>
        <w:jc w:val="left"/>
        <w:rPr>
          <w:color w:val="auto"/>
        </w:rPr>
      </w:pPr>
      <w:r>
        <w:rPr>
          <w:rFonts w:hint="eastAsia" w:ascii="仿宋" w:hAnsi="仿宋" w:eastAsia="仿宋" w:cs="仿宋"/>
          <w:b/>
          <w:color w:val="auto"/>
          <w:kern w:val="0"/>
          <w:sz w:val="24"/>
        </w:rPr>
        <w:t>9.</w:t>
      </w:r>
      <w:r>
        <w:rPr>
          <w:rFonts w:ascii="仿宋" w:hAnsi="仿宋" w:eastAsia="仿宋" w:cs="仿宋"/>
          <w:b/>
          <w:color w:val="auto"/>
          <w:kern w:val="0"/>
          <w:sz w:val="24"/>
        </w:rPr>
        <w:t>资格性审查</w:t>
      </w:r>
    </w:p>
    <w:p>
      <w:pPr>
        <w:widowControl/>
        <w:spacing w:line="360" w:lineRule="auto"/>
        <w:ind w:firstLine="480" w:firstLineChars="200"/>
        <w:jc w:val="left"/>
        <w:rPr>
          <w:color w:val="auto"/>
        </w:rPr>
      </w:pPr>
      <w:r>
        <w:rPr>
          <w:rFonts w:hint="eastAsia" w:ascii="仿宋" w:hAnsi="仿宋" w:eastAsia="仿宋" w:cs="仿宋"/>
          <w:color w:val="auto"/>
          <w:kern w:val="0"/>
          <w:sz w:val="24"/>
        </w:rPr>
        <w:t xml:space="preserve">9.1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pPr>
        <w:widowControl/>
        <w:spacing w:line="360" w:lineRule="auto"/>
        <w:ind w:firstLine="480" w:firstLineChars="200"/>
        <w:jc w:val="left"/>
        <w:rPr>
          <w:color w:val="auto"/>
        </w:rPr>
      </w:pPr>
      <w:r>
        <w:rPr>
          <w:rFonts w:hint="eastAsia" w:ascii="仿宋" w:hAnsi="仿宋" w:eastAsia="仿宋" w:cs="仿宋"/>
          <w:color w:val="auto"/>
          <w:kern w:val="0"/>
          <w:sz w:val="24"/>
        </w:rPr>
        <w:t>9.2资格性审查结束后，评审小组应当出具资格性审查报告，没有通过资格审查的供应商，评审小组应当在资格审查报告中说明原因。</w:t>
      </w:r>
    </w:p>
    <w:p>
      <w:pPr>
        <w:widowControl/>
        <w:spacing w:line="360" w:lineRule="auto"/>
        <w:ind w:firstLine="480" w:firstLineChars="200"/>
        <w:jc w:val="left"/>
        <w:rPr>
          <w:color w:val="auto"/>
        </w:rPr>
      </w:pPr>
      <w:r>
        <w:rPr>
          <w:rFonts w:hint="eastAsia" w:ascii="仿宋" w:hAnsi="仿宋" w:eastAsia="仿宋" w:cs="仿宋"/>
          <w:color w:val="auto"/>
          <w:kern w:val="0"/>
          <w:sz w:val="24"/>
        </w:rPr>
        <w:t>9.3评审小组应依据谈判文件规定的实质性要求，对符合资格的响应文件进行有效性、完整性和响应程度审查，以确定参加谈判的供应商名单。</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9.4采购人或者采购代理机构宣布未通过资格性审查的供应商名单时，应当告知供应商未通过审查的原因。 </w:t>
      </w:r>
    </w:p>
    <w:p>
      <w:pPr>
        <w:pStyle w:val="2"/>
        <w:spacing w:line="360" w:lineRule="auto"/>
        <w:rPr>
          <w:color w:val="auto"/>
        </w:rPr>
      </w:pPr>
    </w:p>
    <w:p>
      <w:pPr>
        <w:spacing w:line="360" w:lineRule="auto"/>
        <w:ind w:firstLine="482" w:firstLineChars="200"/>
        <w:rPr>
          <w:rFonts w:ascii="仿宋" w:hAnsi="仿宋" w:eastAsia="仿宋"/>
          <w:b/>
          <w:color w:val="auto"/>
          <w:sz w:val="24"/>
        </w:rPr>
      </w:pPr>
      <w:r>
        <w:rPr>
          <w:rFonts w:hint="eastAsia" w:ascii="仿宋" w:hAnsi="仿宋" w:eastAsia="仿宋" w:cs="仿宋"/>
          <w:b/>
          <w:color w:val="auto"/>
          <w:sz w:val="24"/>
        </w:rPr>
        <w:t>10.谈判</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.1</w:t>
      </w:r>
      <w:r>
        <w:rPr>
          <w:rFonts w:hint="eastAsia" w:ascii="仿宋" w:hAnsi="仿宋" w:eastAsia="仿宋" w:cs="仿宋"/>
          <w:color w:val="auto"/>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.2</w:t>
      </w:r>
      <w:r>
        <w:rPr>
          <w:rFonts w:hint="eastAsia" w:ascii="仿宋" w:hAnsi="仿宋" w:eastAsia="仿宋" w:cs="仿宋"/>
          <w:color w:val="auto"/>
          <w:sz w:val="24"/>
        </w:rPr>
        <w:t>每轮谈判开始前，谈判小组应根据谈判文件的规定，并结合各供应商的响应文件拟定谈判内容。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.3</w:t>
      </w:r>
      <w:r>
        <w:rPr>
          <w:rFonts w:hint="eastAsia" w:ascii="仿宋" w:hAnsi="仿宋" w:eastAsia="仿宋" w:cs="仿宋"/>
          <w:color w:val="auto"/>
          <w:sz w:val="24"/>
        </w:rPr>
        <w:t>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.4</w:t>
      </w:r>
      <w:r>
        <w:rPr>
          <w:rFonts w:hint="eastAsia" w:ascii="仿宋" w:hAnsi="仿宋" w:eastAsia="仿宋" w:cs="仿宋"/>
          <w:color w:val="auto"/>
          <w:sz w:val="24"/>
        </w:rPr>
        <w:t>对谈判文件作出的实质性变动是谈判文件的有效组成部分，谈判小组应当及时以书面形式同时通知所有参加谈判的供应商。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.5</w:t>
      </w:r>
      <w:r>
        <w:rPr>
          <w:rFonts w:hint="eastAsia" w:ascii="仿宋" w:hAnsi="仿宋" w:eastAsia="仿宋" w:cs="仿宋"/>
          <w:color w:val="auto"/>
          <w:sz w:val="24"/>
        </w:rPr>
        <w:t>谈判过程中，谈判文件变动的，供应商应当按照谈判文件的变动情况和谈判小组的要求重新提交响应文件，并由其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10</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10</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pPr>
        <w:widowControl/>
        <w:spacing w:line="360" w:lineRule="auto"/>
        <w:ind w:firstLine="480" w:firstLineChars="200"/>
        <w:jc w:val="left"/>
        <w:rPr>
          <w:color w:val="auto"/>
        </w:rPr>
      </w:pPr>
      <w:r>
        <w:rPr>
          <w:rFonts w:ascii="仿宋" w:hAnsi="仿宋" w:eastAsia="仿宋" w:cs="仿宋"/>
          <w:color w:val="auto"/>
          <w:kern w:val="0"/>
          <w:sz w:val="24"/>
        </w:rPr>
        <w:t>（</w:t>
      </w:r>
      <w:r>
        <w:rPr>
          <w:rFonts w:hint="eastAsia" w:ascii="仿宋" w:hAnsi="仿宋" w:eastAsia="仿宋" w:cs="仿宋"/>
          <w:color w:val="auto"/>
          <w:kern w:val="0"/>
          <w:sz w:val="24"/>
        </w:rPr>
        <w:t>2</w:t>
      </w:r>
      <w:r>
        <w:rPr>
          <w:rFonts w:ascii="仿宋" w:hAnsi="仿宋" w:eastAsia="仿宋" w:cs="仿宋"/>
          <w:color w:val="auto"/>
          <w:kern w:val="0"/>
          <w:sz w:val="24"/>
        </w:rPr>
        <w:t xml:space="preserve">）响应文件正副本数量不足的； </w:t>
      </w:r>
    </w:p>
    <w:p>
      <w:pPr>
        <w:widowControl/>
        <w:spacing w:line="360" w:lineRule="auto"/>
        <w:ind w:firstLine="480" w:firstLineChars="200"/>
        <w:jc w:val="left"/>
        <w:rPr>
          <w:color w:val="auto"/>
        </w:rPr>
      </w:pPr>
      <w:r>
        <w:rPr>
          <w:rFonts w:hint="eastAsia" w:ascii="仿宋" w:hAnsi="仿宋" w:eastAsia="仿宋" w:cs="仿宋"/>
          <w:color w:val="auto"/>
          <w:kern w:val="0"/>
          <w:sz w:val="24"/>
        </w:rPr>
        <w:t xml:space="preserve">（3）响应文件组成明显不符合采购文件的规定要求，影响评审委员会评判的； </w:t>
      </w:r>
    </w:p>
    <w:p>
      <w:pPr>
        <w:widowControl/>
        <w:spacing w:line="360" w:lineRule="auto"/>
        <w:ind w:firstLine="480" w:firstLineChars="200"/>
        <w:jc w:val="left"/>
        <w:rPr>
          <w:color w:val="auto"/>
        </w:rPr>
      </w:pPr>
      <w:r>
        <w:rPr>
          <w:rFonts w:hint="eastAsia" w:ascii="仿宋" w:hAnsi="仿宋" w:eastAsia="仿宋" w:cs="仿宋"/>
          <w:color w:val="auto"/>
          <w:kern w:val="0"/>
          <w:sz w:val="24"/>
        </w:rPr>
        <w:t>（4）</w:t>
      </w:r>
      <w:r>
        <w:rPr>
          <w:rFonts w:ascii="仿宋" w:hAnsi="仿宋" w:eastAsia="仿宋" w:cs="仿宋"/>
          <w:color w:val="auto"/>
          <w:kern w:val="0"/>
          <w:sz w:val="24"/>
        </w:rPr>
        <w:t>属于竞争性</w:t>
      </w:r>
      <w:r>
        <w:rPr>
          <w:rFonts w:hint="eastAsia" w:ascii="仿宋" w:hAnsi="仿宋" w:eastAsia="仿宋" w:cs="仿宋"/>
          <w:color w:val="auto"/>
          <w:kern w:val="0"/>
          <w:sz w:val="24"/>
        </w:rPr>
        <w:t>谈判</w:t>
      </w:r>
      <w:r>
        <w:rPr>
          <w:rFonts w:ascii="仿宋" w:hAnsi="仿宋" w:eastAsia="仿宋" w:cs="仿宋"/>
          <w:color w:val="auto"/>
          <w:kern w:val="0"/>
          <w:sz w:val="24"/>
        </w:rPr>
        <w:t>文件中无效响应情形的。</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10.</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响应文件仍不能完全响应采购文件的实质性要求的；</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）响应文件仍中有规定的其他无效响应情形的。</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10</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个）没有法定代表人（单位负责人）签字，但有法定代表人（单位负责人）的私人印章或者有效授权代理人签字的；</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pPr>
        <w:pStyle w:val="17"/>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10</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spacing w:line="360" w:lineRule="auto"/>
        <w:ind w:firstLine="480" w:firstLineChars="200"/>
        <w:rPr>
          <w:rFonts w:ascii="仿宋" w:hAnsi="仿宋" w:eastAsia="仿宋"/>
          <w:color w:val="auto"/>
          <w:sz w:val="24"/>
        </w:rPr>
      </w:pPr>
      <w:r>
        <w:rPr>
          <w:rFonts w:ascii="仿宋" w:hAnsi="仿宋" w:eastAsia="仿宋" w:cs="仿宋"/>
          <w:color w:val="auto"/>
          <w:sz w:val="24"/>
        </w:rPr>
        <w:t>10.7</w:t>
      </w:r>
      <w:r>
        <w:rPr>
          <w:rFonts w:hint="eastAsia" w:ascii="仿宋" w:hAnsi="仿宋" w:eastAsia="仿宋" w:cs="仿宋"/>
          <w:color w:val="auto"/>
          <w:sz w:val="24"/>
        </w:rPr>
        <w:t>谈判过程中，谈判的任何一方不得透露与谈判有关的其他供应商的技术资料、价格和其他信息。</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10</w:t>
      </w:r>
      <w:r>
        <w:rPr>
          <w:rFonts w:ascii="仿宋" w:hAnsi="仿宋" w:eastAsia="仿宋" w:cs="仿宋"/>
          <w:color w:val="auto"/>
          <w:sz w:val="24"/>
        </w:rPr>
        <w:t>.8</w:t>
      </w:r>
      <w:r>
        <w:rPr>
          <w:rFonts w:hint="eastAsia" w:ascii="仿宋" w:hAnsi="仿宋" w:eastAsia="仿宋" w:cs="仿宋"/>
          <w:color w:val="auto"/>
          <w:sz w:val="24"/>
        </w:rPr>
        <w:t>谈判过程中，谈判小组发现或者知晓供应商存在违法、违纪行为的，谈判小组应当将该供应商响应文件作无效处理，不允许其提交最后报价。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w:t>
      </w:r>
      <w:r>
        <w:rPr>
          <w:rFonts w:ascii="仿宋" w:hAnsi="仿宋" w:eastAsia="仿宋" w:cs="仿宋"/>
          <w:color w:val="auto"/>
          <w:sz w:val="24"/>
        </w:rPr>
        <w:t>.9</w:t>
      </w:r>
      <w:r>
        <w:rPr>
          <w:rFonts w:hint="eastAsia" w:ascii="仿宋" w:hAnsi="仿宋" w:eastAsia="仿宋" w:cs="仿宋"/>
          <w:color w:val="auto"/>
          <w:sz w:val="24"/>
        </w:rPr>
        <w:t>谈判完成后，谈判小组应出具谈判情况记录表，谈判情况记录表需包含谈判内容、谈判意见、实质性变动内容等。</w:t>
      </w:r>
    </w:p>
    <w:p>
      <w:pPr>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rPr>
        <w:t>11.报价</w:t>
      </w:r>
    </w:p>
    <w:p>
      <w:pPr>
        <w:spacing w:line="360" w:lineRule="auto"/>
        <w:ind w:firstLine="480" w:firstLineChars="200"/>
        <w:rPr>
          <w:rFonts w:ascii="仿宋" w:hAnsi="仿宋" w:eastAsia="仿宋"/>
          <w:color w:val="auto"/>
          <w:sz w:val="24"/>
          <w:lang w:val="zh-CN"/>
        </w:rPr>
      </w:pPr>
      <w:r>
        <w:rPr>
          <w:rFonts w:hint="eastAsia" w:ascii="仿宋" w:hAnsi="仿宋" w:eastAsia="仿宋" w:cs="仿宋"/>
          <w:color w:val="auto"/>
          <w:sz w:val="24"/>
        </w:rPr>
        <w:t>11</w:t>
      </w:r>
      <w:r>
        <w:rPr>
          <w:rFonts w:ascii="仿宋" w:hAnsi="仿宋" w:eastAsia="仿宋" w:cs="仿宋"/>
          <w:color w:val="auto"/>
          <w:sz w:val="24"/>
        </w:rPr>
        <w:t>.1</w:t>
      </w:r>
      <w:r>
        <w:rPr>
          <w:rFonts w:hint="eastAsia" w:ascii="仿宋" w:hAnsi="仿宋" w:eastAsia="仿宋" w:cs="仿宋"/>
          <w:color w:val="auto"/>
          <w:sz w:val="24"/>
        </w:rPr>
        <w:t>除其他响应文件中的首轮报价以外，供应商报价采用现场报价。现场报价前，谈判小组应对供应商其他响应文件中的首轮报价进行评审。</w:t>
      </w:r>
    </w:p>
    <w:p>
      <w:pPr>
        <w:widowControl/>
        <w:spacing w:line="360" w:lineRule="auto"/>
        <w:ind w:firstLine="480" w:firstLineChars="200"/>
        <w:jc w:val="left"/>
        <w:rPr>
          <w:color w:val="auto"/>
        </w:rPr>
      </w:pPr>
      <w:r>
        <w:rPr>
          <w:rFonts w:hint="eastAsia" w:ascii="仿宋" w:hAnsi="仿宋" w:eastAsia="仿宋" w:cs="仿宋"/>
          <w:color w:val="auto"/>
          <w:kern w:val="0"/>
          <w:sz w:val="24"/>
        </w:rPr>
        <w:t>（1）</w:t>
      </w:r>
      <w:r>
        <w:rPr>
          <w:rFonts w:ascii="仿宋" w:hAnsi="仿宋" w:eastAsia="仿宋" w:cs="仿宋"/>
          <w:color w:val="auto"/>
          <w:kern w:val="0"/>
          <w:sz w:val="24"/>
        </w:rPr>
        <w:t>报价超过竞争性</w:t>
      </w:r>
      <w:r>
        <w:rPr>
          <w:rFonts w:hint="eastAsia" w:ascii="仿宋" w:hAnsi="仿宋" w:eastAsia="仿宋" w:cs="仿宋"/>
          <w:color w:val="auto"/>
          <w:kern w:val="0"/>
          <w:sz w:val="24"/>
        </w:rPr>
        <w:t>谈判</w:t>
      </w:r>
      <w:r>
        <w:rPr>
          <w:rFonts w:ascii="仿宋" w:hAnsi="仿宋" w:eastAsia="仿宋" w:cs="仿宋"/>
          <w:color w:val="auto"/>
          <w:kern w:val="0"/>
          <w:sz w:val="24"/>
        </w:rPr>
        <w:t>文件规定的采购预算（或最高限价）或者相关报价不符</w:t>
      </w:r>
      <w:r>
        <w:rPr>
          <w:rFonts w:hint="eastAsia" w:ascii="仿宋" w:hAnsi="仿宋" w:eastAsia="仿宋" w:cs="仿宋"/>
          <w:color w:val="auto"/>
          <w:kern w:val="0"/>
          <w:sz w:val="24"/>
        </w:rPr>
        <w:t>合采购文件其他的报价规定的，应按照无效响应文件处理。</w:t>
      </w:r>
    </w:p>
    <w:p>
      <w:pPr>
        <w:pStyle w:val="17"/>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）谈判小组对供应商已标价的项目单价进行评审，对明显不合理的单价（如明显偏高或偏低）项目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rPr>
        <w:t>11</w:t>
      </w:r>
      <w:r>
        <w:rPr>
          <w:rFonts w:ascii="仿宋" w:hAnsi="仿宋" w:eastAsia="仿宋" w:cs="仿宋"/>
          <w:color w:val="auto"/>
          <w:sz w:val="24"/>
        </w:rPr>
        <w:t>.2</w:t>
      </w:r>
      <w:r>
        <w:rPr>
          <w:rFonts w:hint="eastAsia" w:ascii="仿宋" w:hAnsi="仿宋" w:eastAsia="仿宋" w:cs="仿宋"/>
          <w:color w:val="auto"/>
          <w:sz w:val="24"/>
        </w:rPr>
        <w:t>谈判</w:t>
      </w:r>
      <w:r>
        <w:rPr>
          <w:rFonts w:ascii="仿宋" w:hAnsi="仿宋" w:eastAsia="仿宋" w:cs="仿宋"/>
          <w:color w:val="auto"/>
          <w:kern w:val="0"/>
          <w:sz w:val="24"/>
        </w:rPr>
        <w:t>文件能够详细列明采购标的的技术、服务要求的，</w:t>
      </w:r>
      <w:r>
        <w:rPr>
          <w:rFonts w:hint="eastAsia" w:ascii="仿宋" w:hAnsi="仿宋" w:eastAsia="仿宋" w:cs="仿宋"/>
          <w:color w:val="auto"/>
          <w:kern w:val="0"/>
          <w:sz w:val="24"/>
        </w:rPr>
        <w:t>谈判</w:t>
      </w:r>
      <w:r>
        <w:rPr>
          <w:rFonts w:ascii="仿宋" w:hAnsi="仿宋" w:eastAsia="仿宋" w:cs="仿宋"/>
          <w:color w:val="auto"/>
          <w:kern w:val="0"/>
          <w:sz w:val="24"/>
        </w:rPr>
        <w:t>结束后，</w:t>
      </w:r>
      <w:r>
        <w:rPr>
          <w:rFonts w:hint="eastAsia" w:ascii="仿宋" w:hAnsi="仿宋" w:eastAsia="仿宋" w:cs="仿宋"/>
          <w:color w:val="auto"/>
          <w:sz w:val="24"/>
        </w:rPr>
        <w:t>谈判小组应当要求所有实质性响应的供应商在规定时间内提交最后报价或者多轮报价后再最后报价，提交最后报价的供应商不得少于</w:t>
      </w:r>
      <w:r>
        <w:rPr>
          <w:rFonts w:ascii="仿宋" w:hAnsi="仿宋" w:eastAsia="仿宋" w:cs="仿宋"/>
          <w:color w:val="auto"/>
          <w:sz w:val="24"/>
        </w:rPr>
        <w:t>3</w:t>
      </w:r>
      <w:r>
        <w:rPr>
          <w:rFonts w:hint="eastAsia" w:ascii="仿宋" w:hAnsi="仿宋" w:eastAsia="仿宋" w:cs="仿宋"/>
          <w:color w:val="auto"/>
          <w:sz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11</w:t>
      </w:r>
      <w:r>
        <w:rPr>
          <w:rFonts w:ascii="仿宋" w:hAnsi="仿宋" w:eastAsia="仿宋" w:cs="仿宋"/>
          <w:color w:val="auto"/>
          <w:sz w:val="24"/>
        </w:rPr>
        <w:t>.3</w:t>
      </w:r>
      <w:r>
        <w:rPr>
          <w:rFonts w:hint="eastAsia" w:ascii="仿宋" w:hAnsi="仿宋" w:eastAsia="仿宋" w:cs="仿宋"/>
          <w:color w:val="auto"/>
          <w:sz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11</w:t>
      </w:r>
      <w:r>
        <w:rPr>
          <w:rFonts w:ascii="仿宋" w:hAnsi="仿宋" w:eastAsia="仿宋" w:cs="仿宋"/>
          <w:color w:val="auto"/>
          <w:sz w:val="24"/>
        </w:rPr>
        <w:t>.4</w:t>
      </w:r>
      <w:r>
        <w:rPr>
          <w:rFonts w:hint="eastAsia" w:ascii="仿宋" w:hAnsi="仿宋" w:eastAsia="仿宋" w:cs="仿宋"/>
          <w:color w:val="auto"/>
          <w:sz w:val="24"/>
        </w:rPr>
        <w:t>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11</w:t>
      </w:r>
      <w:r>
        <w:rPr>
          <w:rFonts w:ascii="仿宋" w:hAnsi="仿宋" w:eastAsia="仿宋" w:cs="仿宋"/>
          <w:color w:val="auto"/>
          <w:sz w:val="24"/>
        </w:rPr>
        <w:t>.5</w:t>
      </w:r>
      <w:r>
        <w:rPr>
          <w:rFonts w:hint="eastAsia" w:ascii="仿宋" w:hAnsi="仿宋" w:eastAsia="仿宋" w:cs="仿宋"/>
          <w:color w:val="auto"/>
          <w:sz w:val="24"/>
        </w:rPr>
        <w:t>采购人在谈判文件中直接确定了采购项目采购价格的，供应商的报价应当按照谈判文件中确定了的采购项目采购价格进行报价，不得增加或者减少，否则其报价无效，其响应文件将作为无效处理。</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12.谈判小组复核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供应商最后报价结束后，谈判小组应当进行评审复核，对拟推荐为成交候选供应商的、报价最低的、</w:t>
      </w:r>
      <w:r>
        <w:rPr>
          <w:rFonts w:hint="eastAsia" w:ascii="仿宋" w:hAnsi="仿宋" w:eastAsia="仿宋" w:cs="仿宋"/>
          <w:bCs/>
          <w:color w:val="auto"/>
          <w:sz w:val="24"/>
        </w:rPr>
        <w:t>供应商资格审查未通过的、</w:t>
      </w:r>
      <w:r>
        <w:rPr>
          <w:rFonts w:hint="eastAsia" w:ascii="仿宋" w:hAnsi="仿宋" w:eastAsia="仿宋" w:cs="仿宋"/>
          <w:color w:val="auto"/>
          <w:sz w:val="24"/>
        </w:rPr>
        <w:t>供应商响应文件作无效处理的重点复核。</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13.推荐成交候选供应商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谈判小组应当根据报价低到高顺序推荐</w:t>
      </w:r>
      <w:r>
        <w:rPr>
          <w:rFonts w:ascii="仿宋" w:hAnsi="仿宋" w:eastAsia="仿宋" w:cs="仿宋"/>
          <w:color w:val="auto"/>
          <w:sz w:val="24"/>
        </w:rPr>
        <w:t>3</w:t>
      </w:r>
      <w:r>
        <w:rPr>
          <w:rFonts w:hint="eastAsia" w:ascii="仿宋" w:hAnsi="仿宋" w:eastAsia="仿宋" w:cs="仿宋"/>
          <w:color w:val="auto"/>
          <w:sz w:val="24"/>
        </w:rPr>
        <w:t>家以上成交候选供应商，并编写评审报告。最后报价相同的，成交候选供应商并列，由采购人随机抽签确定成交供应商。</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14.编写评审报告</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谈判小组推荐成交候选供应商后，应向采购代理机构出具评审报告。评审报告应当包括以下主要内容：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）邀请供应商参加采购活动的具体方式和相关情况；</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）响应文件开启日期和地点；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）获取谈判文件的供应商名单和谈判小组成员名单；</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）提出的成交候选供应商的排序名单及理由。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15.谈判异议处理规则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在谈判过程中，谈判小组成员</w:t>
      </w:r>
      <w:r>
        <w:rPr>
          <w:rFonts w:hint="eastAsia" w:ascii="仿宋" w:hAnsi="仿宋" w:eastAsia="仿宋" w:cs="仿宋"/>
          <w:bCs/>
          <w:color w:val="auto"/>
          <w:sz w:val="24"/>
        </w:rPr>
        <w:t>对于资格性审查、</w:t>
      </w:r>
      <w:r>
        <w:rPr>
          <w:rFonts w:hint="eastAsia" w:ascii="仿宋" w:hAnsi="仿宋" w:eastAsia="仿宋" w:cs="仿宋"/>
          <w:color w:val="auto"/>
          <w:sz w:val="24"/>
        </w:rPr>
        <w:t>对响应文件是否符合谈判文件规定存在争议的，应当以少数服从多数的原则处理，但不违背谈判文件规定。有不同意见的谈判小组成员认为认定过程和结果不符合法律法规或者谈判文件规定的，应当在评审报告中予以反映。</w:t>
      </w:r>
    </w:p>
    <w:p>
      <w:pPr>
        <w:pStyle w:val="2"/>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rPr>
        <w:t>16.供应商澄清、说明</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16</w:t>
      </w:r>
      <w:r>
        <w:rPr>
          <w:rFonts w:ascii="仿宋" w:hAnsi="仿宋" w:eastAsia="仿宋" w:cs="仿宋"/>
          <w:color w:val="auto"/>
          <w:sz w:val="24"/>
        </w:rPr>
        <w:t>.1</w:t>
      </w:r>
      <w:r>
        <w:rPr>
          <w:rFonts w:hint="eastAsia" w:ascii="仿宋" w:hAnsi="仿宋" w:eastAsia="仿宋" w:cs="仿宋"/>
          <w:color w:val="auto"/>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ascii="仿宋" w:hAnsi="仿宋" w:eastAsia="仿宋" w:cs="仿宋"/>
          <w:color w:val="auto"/>
          <w:sz w:val="24"/>
        </w:rPr>
        <w:t>.2</w:t>
      </w:r>
      <w:r>
        <w:rPr>
          <w:rFonts w:hint="eastAsia" w:ascii="仿宋" w:hAnsi="仿宋" w:eastAsia="仿宋" w:cs="仿宋"/>
          <w:color w:val="auto"/>
          <w:sz w:val="24"/>
        </w:rPr>
        <w:t>谈判小组要求供应商澄清、说明或者更正响应文件应当以书面形式作出。供应商的澄清、说明或者更正应当由法定代表人（主要负责人）或其授权代表签字（</w:t>
      </w:r>
      <w:r>
        <w:rPr>
          <w:rFonts w:hint="eastAsia" w:ascii="仿宋" w:hAnsi="仿宋" w:eastAsia="仿宋" w:cs="仿宋"/>
          <w:b/>
          <w:bCs/>
          <w:color w:val="auto"/>
          <w:sz w:val="24"/>
        </w:rPr>
        <w:t>注：</w:t>
      </w:r>
      <w:r>
        <w:rPr>
          <w:rFonts w:hint="eastAsia" w:ascii="仿宋" w:hAnsi="仿宋" w:eastAsia="仿宋" w:cs="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16.3评审委员会要求供应商澄清、说明或者更正，不得超出谈判竞争性谈判文件的范围，不得以此让供应商实质改变响应文件的内容，不得影响供应商公平竞争。本项目下列内容不得澄清：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（1）应当在评审时不予承认的响应文件内容事项；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（2）响应文件中已经明确的内容事项；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（3）响应文件未提供的材料。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16.4本项目采购过程中，响应文件出现下列情况的，不需要供应商澄清、说明或者更正，按照以下原则处理：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（1）响应文件的大写金额和小写金额不一致的，以大写金额为准，但大写金额出现文字错误，导致金额无法判断的除外；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（2）总价金额与按单价汇总金额不一致的，以单价汇总金额计算结果为准，但是单价金额出现计算错误、明显人为工作失误的除外；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（3）单价金额小数点有明显错位的，应以总价为准，并修改单价；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（4）对不同语言文本响应文件的解释发生异议的，以中文文本为准。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注：评审委员会当积极履行澄清、说明或者更正的职责，不得滥用权力。供应商的响应文件可以要求澄清、说明或者更正的，不得未经澄清、说明或者更正而直接作无效响应处理。</w:t>
      </w:r>
    </w:p>
    <w:p>
      <w:pPr>
        <w:spacing w:line="360" w:lineRule="auto"/>
        <w:ind w:firstLine="482" w:firstLineChars="200"/>
        <w:rPr>
          <w:rFonts w:ascii="仿宋" w:hAnsi="仿宋" w:eastAsia="仿宋" w:cs="仿宋"/>
          <w:b/>
          <w:bCs/>
          <w:color w:val="auto"/>
          <w:sz w:val="24"/>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17.评审结束后的纠错处理办法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pPr>
        <w:spacing w:line="360" w:lineRule="auto"/>
        <w:ind w:firstLine="482" w:firstLineChars="200"/>
        <w:rPr>
          <w:rFonts w:ascii="仿宋" w:hAnsi="仿宋" w:eastAsia="仿宋" w:cs="仿宋"/>
          <w:b/>
          <w:bCs/>
          <w:color w:val="auto"/>
          <w:sz w:val="24"/>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rPr>
        <w:t>18.终止谈判采购活动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）因情况变化，不再符合规定的竞争性谈判采购方式适用情形的；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）出现影响采购公正的违法、违规行为的；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）在采购过程中符合要求的供应商或者最后报价未超过采购预算的供应商不足</w:t>
      </w:r>
      <w:r>
        <w:rPr>
          <w:rFonts w:ascii="仿宋" w:hAnsi="仿宋" w:eastAsia="仿宋" w:cs="仿宋"/>
          <w:color w:val="auto"/>
          <w:sz w:val="24"/>
        </w:rPr>
        <w:t>3</w:t>
      </w:r>
      <w:r>
        <w:rPr>
          <w:rFonts w:hint="eastAsia" w:ascii="仿宋" w:hAnsi="仿宋" w:eastAsia="仿宋" w:cs="仿宋"/>
          <w:color w:val="auto"/>
          <w:sz w:val="24"/>
        </w:rPr>
        <w:t>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（4）采购人认为继续开展采购活动，将损害国家利益、集体利益或损害其他当事人合法权益的。</w:t>
      </w:r>
    </w:p>
    <w:p>
      <w:pPr>
        <w:tabs>
          <w:tab w:val="left" w:pos="851"/>
        </w:tabs>
        <w:spacing w:beforeLines="100"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四、谈判纪律及注意事项</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19.谈判小组内部讨论的情况和意见必须保密，任何人不得以任何形式透露给供应商或与供应商有关的单位或个人。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rPr>
        <w:t>20.在谈判过程中，供应商不得以任何形式对谈判小组成员进行旨在影响谈判结果的私下接触，否则将取消其参与谈判的资格。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rPr>
        <w:t>21.对各供应商的商业秘密，谈判小组成员应予以保密，不得泄露给其他供应商。</w:t>
      </w:r>
    </w:p>
    <w:p>
      <w:pPr>
        <w:tabs>
          <w:tab w:val="left" w:pos="851"/>
        </w:tabs>
        <w:spacing w:line="360" w:lineRule="auto"/>
        <w:ind w:firstLine="480" w:firstLineChars="200"/>
        <w:rPr>
          <w:color w:val="auto"/>
        </w:rPr>
      </w:pPr>
      <w:r>
        <w:rPr>
          <w:rFonts w:hint="eastAsia" w:ascii="仿宋" w:hAnsi="仿宋" w:eastAsia="仿宋" w:cs="仿宋"/>
          <w:color w:val="auto"/>
          <w:sz w:val="24"/>
        </w:rPr>
        <w:t>22.谈判小组独立评判，推荐成交候选人，并写出书面报告。</w:t>
      </w:r>
    </w:p>
    <w:p>
      <w:pPr>
        <w:tabs>
          <w:tab w:val="left" w:pos="7665"/>
        </w:tabs>
        <w:spacing w:beforeLines="100"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五、谈判小组在本次采购活动中应当承担的义务</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23.谈判小组应当承担以下义务</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（1）遵守评审工作纪律；</w:t>
      </w:r>
    </w:p>
    <w:p>
      <w:pPr>
        <w:pStyle w:val="112"/>
        <w:tabs>
          <w:tab w:val="left" w:pos="7665"/>
        </w:tabs>
        <w:spacing w:line="360" w:lineRule="auto"/>
        <w:ind w:firstLine="480"/>
        <w:rPr>
          <w:rFonts w:ascii="仿宋" w:hAnsi="仿宋" w:eastAsia="仿宋"/>
          <w:color w:val="auto"/>
          <w:sz w:val="24"/>
        </w:rPr>
      </w:pPr>
      <w:r>
        <w:rPr>
          <w:rFonts w:hint="eastAsia" w:ascii="仿宋" w:hAnsi="仿宋" w:eastAsia="仿宋" w:cs="仿宋"/>
          <w:color w:val="auto"/>
          <w:sz w:val="24"/>
        </w:rPr>
        <w:t>（2）按照客观、公正、审慎的原则，根据谈判文件规定的评审程序、评审方法和评审标准进行独立评审；</w:t>
      </w:r>
    </w:p>
    <w:p>
      <w:pPr>
        <w:pStyle w:val="112"/>
        <w:tabs>
          <w:tab w:val="left" w:pos="7665"/>
        </w:tabs>
        <w:spacing w:line="360" w:lineRule="auto"/>
        <w:ind w:firstLine="480"/>
        <w:rPr>
          <w:rFonts w:ascii="仿宋" w:hAnsi="仿宋" w:eastAsia="仿宋"/>
          <w:color w:val="auto"/>
          <w:sz w:val="24"/>
        </w:rPr>
      </w:pPr>
      <w:r>
        <w:rPr>
          <w:rFonts w:hint="eastAsia" w:ascii="仿宋" w:hAnsi="仿宋" w:eastAsia="仿宋" w:cs="仿宋"/>
          <w:color w:val="auto"/>
          <w:sz w:val="24"/>
        </w:rPr>
        <w:t>（3）不得泄露评审文件、评审情况和在评审过程中获悉的商业秘密；</w:t>
      </w:r>
    </w:p>
    <w:p>
      <w:pPr>
        <w:pStyle w:val="112"/>
        <w:tabs>
          <w:tab w:val="left" w:pos="7665"/>
        </w:tabs>
        <w:spacing w:line="360" w:lineRule="auto"/>
        <w:ind w:firstLine="480"/>
        <w:rPr>
          <w:rFonts w:ascii="仿宋" w:hAnsi="仿宋" w:eastAsia="仿宋"/>
          <w:color w:val="auto"/>
          <w:sz w:val="24"/>
        </w:rPr>
      </w:pPr>
      <w:r>
        <w:rPr>
          <w:rFonts w:hint="eastAsia" w:ascii="仿宋" w:hAnsi="仿宋" w:eastAsia="仿宋" w:cs="仿宋"/>
          <w:color w:val="auto"/>
          <w:sz w:val="24"/>
        </w:rPr>
        <w:t>（4）及时向采购人、采购代理机构报告供应商行贿、提供虚假材料或者串通等违法行为；</w:t>
      </w:r>
    </w:p>
    <w:p>
      <w:pPr>
        <w:pStyle w:val="112"/>
        <w:tabs>
          <w:tab w:val="left" w:pos="7665"/>
        </w:tabs>
        <w:spacing w:line="360" w:lineRule="auto"/>
        <w:ind w:firstLine="480"/>
        <w:rPr>
          <w:rFonts w:ascii="仿宋" w:hAnsi="仿宋" w:eastAsia="仿宋"/>
          <w:color w:val="auto"/>
          <w:sz w:val="24"/>
        </w:rPr>
      </w:pPr>
      <w:r>
        <w:rPr>
          <w:rFonts w:hint="eastAsia" w:ascii="仿宋" w:hAnsi="仿宋" w:eastAsia="仿宋" w:cs="仿宋"/>
          <w:color w:val="auto"/>
          <w:sz w:val="24"/>
        </w:rPr>
        <w:t>（5）法律、法规和规章规定的其他义务。</w:t>
      </w:r>
    </w:p>
    <w:p>
      <w:pPr>
        <w:tabs>
          <w:tab w:val="left" w:pos="7665"/>
        </w:tabs>
        <w:spacing w:beforeLines="100"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六、谈判小组在本次采购活动中应当遵守的工作纪律</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24.谈判小组在本次采购活动中应当遵守以下工作纪律</w:t>
      </w:r>
    </w:p>
    <w:p>
      <w:pPr>
        <w:pStyle w:val="112"/>
        <w:tabs>
          <w:tab w:val="left" w:pos="7665"/>
        </w:tabs>
        <w:spacing w:line="360" w:lineRule="auto"/>
        <w:ind w:firstLine="480"/>
        <w:rPr>
          <w:rFonts w:ascii="仿宋" w:hAnsi="仿宋" w:eastAsia="仿宋"/>
          <w:color w:val="auto"/>
          <w:sz w:val="24"/>
        </w:rPr>
      </w:pPr>
      <w:r>
        <w:rPr>
          <w:rFonts w:hint="eastAsia" w:ascii="仿宋" w:hAnsi="仿宋" w:eastAsia="仿宋" w:cs="仿宋"/>
          <w:color w:val="auto"/>
          <w:sz w:val="24"/>
        </w:rPr>
        <w:t>（1）不得参加与自己有利害关系的采购项目的评审活动。发现参加了与自己有利害关系的评审活动，须主动提出回避，退出评审；</w:t>
      </w:r>
    </w:p>
    <w:p>
      <w:pPr>
        <w:pStyle w:val="112"/>
        <w:tabs>
          <w:tab w:val="left" w:pos="7665"/>
        </w:tabs>
        <w:spacing w:line="360" w:lineRule="auto"/>
        <w:ind w:firstLine="480"/>
        <w:rPr>
          <w:rFonts w:ascii="仿宋" w:hAnsi="仿宋" w:eastAsia="仿宋" w:cs="仿宋"/>
          <w:color w:val="auto"/>
          <w:sz w:val="24"/>
        </w:rPr>
      </w:pPr>
      <w:r>
        <w:rPr>
          <w:rFonts w:hint="eastAsia" w:ascii="仿宋" w:hAnsi="仿宋" w:eastAsia="仿宋" w:cs="仿宋"/>
          <w:color w:val="auto"/>
          <w:sz w:val="24"/>
        </w:rPr>
        <w:t>（2）评审前，应当将通讯工具或者相关电子设备交由采购代理机构统一保</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管；</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rPr>
        <w:t>（3）评审过程中，不得与外界联系，因发生不可预见情况，确实需要与外</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界联系的，应当在监督人员监督之下办理；</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rPr>
        <w:t>（4）评审过程中，不得发表影响评审公正的倾向性、歧视性言论，不得征</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rPr>
        <w:t>（5）在评审过程中和评审结束后，不得记录、复制或带走任何评审资料，</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不得向外界透露评审内容；</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rPr>
        <w:t>（6）评审现场服从采购代理机构工作人员的管理，接受现场监督人员的合</w:t>
      </w:r>
    </w:p>
    <w:p>
      <w:pPr>
        <w:pStyle w:val="112"/>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法监督；</w:t>
      </w:r>
    </w:p>
    <w:p>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rPr>
        <w:t>（7）遵守有关廉洁自律规定，不得私下接触供应商，不得收受供应商及有</w:t>
      </w:r>
    </w:p>
    <w:p>
      <w:pPr>
        <w:pStyle w:val="112"/>
        <w:tabs>
          <w:tab w:val="left" w:pos="7665"/>
        </w:tabs>
        <w:spacing w:line="360" w:lineRule="auto"/>
        <w:ind w:firstLine="0" w:firstLineChars="0"/>
        <w:rPr>
          <w:rFonts w:ascii="仿宋" w:hAnsi="仿宋" w:eastAsia="仿宋" w:cs="仿宋"/>
          <w:color w:val="auto"/>
          <w:sz w:val="24"/>
        </w:rPr>
        <w:sectPr>
          <w:pgSz w:w="11906" w:h="16838"/>
          <w:pgMar w:top="1134" w:right="1755" w:bottom="1134" w:left="1531" w:header="851" w:footer="850" w:gutter="0"/>
          <w:cols w:space="720" w:num="1"/>
          <w:titlePg/>
          <w:docGrid w:linePitch="312" w:charSpace="0"/>
        </w:sectPr>
      </w:pPr>
      <w:r>
        <w:rPr>
          <w:rFonts w:hint="eastAsia" w:ascii="仿宋" w:hAnsi="仿宋" w:eastAsia="仿宋" w:cs="仿宋"/>
          <w:color w:val="auto"/>
          <w:sz w:val="24"/>
        </w:rPr>
        <w:t>关业务单位和个人的财物或好处，不得接受采购代理机构的请托</w:t>
      </w:r>
      <w:bookmarkStart w:id="129" w:name="_Toc2688"/>
      <w:bookmarkStart w:id="130" w:name="_Toc27128"/>
      <w:bookmarkStart w:id="131" w:name="_Toc3219"/>
      <w:bookmarkStart w:id="132" w:name="_Toc19182"/>
      <w:bookmarkStart w:id="133" w:name="_Toc31949"/>
      <w:bookmarkStart w:id="134" w:name="_Toc4895"/>
      <w:r>
        <w:rPr>
          <w:rFonts w:hint="eastAsia" w:ascii="仿宋" w:hAnsi="仿宋" w:eastAsia="仿宋" w:cs="仿宋"/>
          <w:color w:val="auto"/>
          <w:sz w:val="24"/>
        </w:rPr>
        <w:t>。</w:t>
      </w:r>
    </w:p>
    <w:p>
      <w:pPr>
        <w:pStyle w:val="112"/>
        <w:tabs>
          <w:tab w:val="left" w:pos="7665"/>
        </w:tabs>
        <w:spacing w:line="360" w:lineRule="auto"/>
        <w:ind w:firstLine="0" w:firstLineChars="0"/>
        <w:jc w:val="center"/>
        <w:outlineLvl w:val="0"/>
        <w:rPr>
          <w:rFonts w:ascii="仿宋" w:hAnsi="仿宋" w:eastAsia="仿宋" w:cs="仿宋"/>
          <w:color w:val="auto"/>
          <w:sz w:val="36"/>
          <w:szCs w:val="36"/>
        </w:rPr>
      </w:pPr>
      <w:r>
        <w:rPr>
          <w:rStyle w:val="73"/>
          <w:rFonts w:hint="eastAsia" w:ascii="仿宋" w:hAnsi="仿宋" w:eastAsia="仿宋" w:cs="仿宋"/>
          <w:color w:val="auto"/>
          <w:sz w:val="36"/>
          <w:szCs w:val="36"/>
        </w:rPr>
        <w:t>第九章 采购合同（服务类）</w:t>
      </w:r>
      <w:bookmarkEnd w:id="129"/>
      <w:bookmarkEnd w:id="130"/>
      <w:bookmarkEnd w:id="131"/>
      <w:bookmarkEnd w:id="132"/>
      <w:bookmarkEnd w:id="133"/>
      <w:bookmarkEnd w:id="134"/>
      <w:bookmarkStart w:id="135" w:name="_Hlt101846155"/>
      <w:bookmarkEnd w:id="135"/>
    </w:p>
    <w:p>
      <w:pPr>
        <w:spacing w:line="360" w:lineRule="auto"/>
        <w:ind w:firstLine="480" w:firstLineChars="200"/>
        <w:rPr>
          <w:rFonts w:hint="eastAsia" w:ascii="仿宋" w:eastAsia="仿宋" w:cs="仿宋"/>
          <w:color w:val="auto"/>
          <w:sz w:val="24"/>
        </w:rPr>
      </w:pPr>
      <w:bookmarkStart w:id="136" w:name="_Toc18227"/>
      <w:bookmarkStart w:id="137" w:name="_Toc20043"/>
      <w:bookmarkStart w:id="138" w:name="_Toc11954"/>
      <w:bookmarkStart w:id="139" w:name="_Toc28018"/>
      <w:r>
        <w:rPr>
          <w:rFonts w:hint="eastAsia" w:ascii="仿宋" w:eastAsia="仿宋" w:cs="仿宋"/>
          <w:color w:val="auto"/>
          <w:sz w:val="24"/>
        </w:rPr>
        <w:t>政府采购合同编号：</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履约地点：</w:t>
      </w:r>
      <w:r>
        <w:rPr>
          <w:rFonts w:hint="eastAsia" w:ascii="仿宋" w:eastAsia="仿宋" w:cs="仿宋"/>
          <w:color w:val="auto"/>
          <w:sz w:val="24"/>
          <w:lang w:val="en-US" w:eastAsia="zh-CN"/>
        </w:rPr>
        <w:t>富顺县中医医院</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签订日期：</w:t>
      </w:r>
      <w:r>
        <w:rPr>
          <w:rFonts w:hint="eastAsia" w:ascii="仿宋" w:eastAsia="仿宋" w:cs="仿宋"/>
          <w:color w:val="auto"/>
          <w:sz w:val="24"/>
          <w:lang w:val="en-US" w:eastAsia="zh-CN"/>
        </w:rPr>
        <w:t xml:space="preserve">    </w:t>
      </w:r>
      <w:r>
        <w:rPr>
          <w:rFonts w:hint="eastAsia" w:ascii="仿宋" w:eastAsia="仿宋" w:cs="仿宋"/>
          <w:color w:val="auto"/>
          <w:sz w:val="24"/>
        </w:rPr>
        <w:t>年</w:t>
      </w:r>
      <w:r>
        <w:rPr>
          <w:rFonts w:hint="eastAsia" w:ascii="仿宋" w:eastAsia="仿宋" w:cs="仿宋"/>
          <w:color w:val="auto"/>
          <w:sz w:val="24"/>
          <w:lang w:val="en-US" w:eastAsia="zh-CN"/>
        </w:rPr>
        <w:t xml:space="preserve">     </w:t>
      </w:r>
      <w:r>
        <w:rPr>
          <w:rFonts w:hint="eastAsia" w:ascii="仿宋" w:eastAsia="仿宋" w:cs="仿宋"/>
          <w:color w:val="auto"/>
          <w:sz w:val="24"/>
        </w:rPr>
        <w:t>月</w:t>
      </w:r>
      <w:r>
        <w:rPr>
          <w:rFonts w:hint="eastAsia" w:ascii="仿宋" w:eastAsia="仿宋" w:cs="仿宋"/>
          <w:color w:val="auto"/>
          <w:sz w:val="24"/>
          <w:lang w:val="en-US" w:eastAsia="zh-CN"/>
        </w:rPr>
        <w:t xml:space="preserve">    </w:t>
      </w:r>
      <w:r>
        <w:rPr>
          <w:rFonts w:hint="eastAsia" w:ascii="仿宋" w:eastAsia="仿宋" w:cs="仿宋"/>
          <w:color w:val="auto"/>
          <w:sz w:val="24"/>
        </w:rPr>
        <w:t>日</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签订地点：</w:t>
      </w:r>
      <w:r>
        <w:rPr>
          <w:rFonts w:hint="eastAsia" w:ascii="仿宋" w:eastAsia="仿宋" w:cs="仿宋"/>
          <w:color w:val="auto"/>
          <w:sz w:val="24"/>
          <w:lang w:val="en-US" w:eastAsia="zh-CN"/>
        </w:rPr>
        <w:t>富顺县中医医院</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采购人（甲方）：</w:t>
      </w:r>
      <w:r>
        <w:rPr>
          <w:rFonts w:hint="eastAsia" w:ascii="仿宋" w:eastAsia="仿宋" w:cs="仿宋"/>
          <w:color w:val="auto"/>
          <w:sz w:val="24"/>
          <w:lang w:val="en-US" w:eastAsia="zh-CN"/>
        </w:rPr>
        <w:t>富顺县中医医院</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地址：</w:t>
      </w:r>
      <w:r>
        <w:rPr>
          <w:rFonts w:hint="eastAsia" w:ascii="仿宋" w:eastAsia="仿宋" w:cs="仿宋"/>
          <w:color w:val="auto"/>
          <w:sz w:val="24"/>
          <w:lang w:val="en-US" w:eastAsia="zh-CN"/>
        </w:rPr>
        <w:t xml:space="preserve"> 富顺县东湖大道1801号    </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供应商(乙方)：</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rPr>
        <w:t>地址：</w:t>
      </w:r>
    </w:p>
    <w:p>
      <w:pPr>
        <w:spacing w:line="360" w:lineRule="auto"/>
        <w:ind w:firstLine="480" w:firstLineChars="200"/>
        <w:rPr>
          <w:rFonts w:hint="eastAsia" w:ascii="仿宋" w:eastAsia="仿宋" w:cs="仿宋"/>
          <w:color w:val="auto"/>
          <w:sz w:val="24"/>
          <w:lang w:eastAsia="zh-CN"/>
        </w:rPr>
      </w:pPr>
      <w:r>
        <w:rPr>
          <w:rFonts w:hint="eastAsia" w:ascii="仿宋" w:eastAsia="仿宋" w:cs="仿宋"/>
          <w:color w:val="auto"/>
          <w:sz w:val="24"/>
        </w:rPr>
        <w:t>依据《中华人民共和国民法典》《中华人民共和国政府采购法》与项目行业有关的法律法规，以及</w:t>
      </w:r>
      <w:r>
        <w:rPr>
          <w:rFonts w:hint="eastAsia" w:ascii="仿宋" w:eastAsia="仿宋" w:cs="仿宋"/>
          <w:color w:val="auto"/>
          <w:sz w:val="24"/>
          <w:lang w:eastAsia="zh-CN"/>
        </w:rPr>
        <w:t>富顺县中医医院</w:t>
      </w:r>
      <w:r>
        <w:rPr>
          <w:rFonts w:hint="eastAsia" w:ascii="仿宋" w:eastAsia="仿宋" w:cs="仿宋"/>
          <w:color w:val="auto"/>
          <w:sz w:val="24"/>
          <w:u w:val="single"/>
          <w:lang w:val="en-US" w:eastAsia="zh-CN"/>
        </w:rPr>
        <w:t xml:space="preserve">                   </w:t>
      </w:r>
      <w:r>
        <w:rPr>
          <w:rFonts w:hint="eastAsia" w:ascii="仿宋" w:eastAsia="仿宋" w:cs="仿宋"/>
          <w:color w:val="auto"/>
          <w:sz w:val="24"/>
        </w:rPr>
        <w:t>采购项目</w:t>
      </w:r>
      <w:r>
        <w:rPr>
          <w:rFonts w:hint="eastAsia" w:ascii="仿宋" w:eastAsia="仿宋" w:cs="仿宋"/>
          <w:color w:val="auto"/>
          <w:sz w:val="24"/>
          <w:lang w:eastAsia="zh-CN"/>
        </w:rPr>
        <w:t>（项目编号：</w:t>
      </w:r>
      <w:r>
        <w:rPr>
          <w:rFonts w:hint="eastAsia" w:ascii="仿宋" w:eastAsia="仿宋" w:cs="仿宋"/>
          <w:color w:val="auto"/>
          <w:sz w:val="24"/>
          <w:u w:val="single"/>
          <w:lang w:val="en-US" w:eastAsia="zh-CN"/>
        </w:rPr>
        <w:t xml:space="preserve">              </w:t>
      </w:r>
      <w:r>
        <w:rPr>
          <w:rFonts w:hint="eastAsia" w:ascii="仿宋" w:eastAsia="仿宋" w:cs="仿宋"/>
          <w:color w:val="auto"/>
          <w:sz w:val="24"/>
          <w:lang w:eastAsia="zh-CN"/>
        </w:rPr>
        <w:t>）</w:t>
      </w:r>
      <w:r>
        <w:rPr>
          <w:rFonts w:hint="eastAsia" w:ascii="仿宋" w:eastAsia="仿宋" w:cs="仿宋"/>
          <w:color w:val="auto"/>
          <w:sz w:val="24"/>
        </w:rPr>
        <w:t>的《</w:t>
      </w:r>
      <w:r>
        <w:rPr>
          <w:rFonts w:hint="eastAsia" w:ascii="仿宋" w:eastAsia="仿宋" w:cs="仿宋"/>
          <w:color w:val="auto"/>
          <w:sz w:val="24"/>
          <w:lang w:eastAsia="zh-CN"/>
        </w:rPr>
        <w:t>采购</w:t>
      </w:r>
      <w:r>
        <w:rPr>
          <w:rFonts w:hint="eastAsia" w:ascii="仿宋" w:eastAsia="仿宋" w:cs="仿宋"/>
          <w:color w:val="auto"/>
          <w:sz w:val="24"/>
        </w:rPr>
        <w:t>文件》，乙方的《投标（响应）文件》及《中标（成交）通知书》，甲乙双方同意签订本合同。同附件及本项目的招标文件、投标文件、《中标通知书》等均为本合同不可分割的部分。具体情况及要求如下</w:t>
      </w:r>
      <w:r>
        <w:rPr>
          <w:rFonts w:hint="eastAsia" w:ascii="仿宋" w:eastAsia="仿宋" w:cs="仿宋"/>
          <w:color w:val="auto"/>
          <w:sz w:val="24"/>
          <w:lang w:eastAsia="zh-CN"/>
        </w:rPr>
        <w:t>：</w:t>
      </w:r>
    </w:p>
    <w:p>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lang w:eastAsia="zh-CN"/>
        </w:rPr>
        <w:t>一、项目情况</w:t>
      </w:r>
    </w:p>
    <w:p>
      <w:pPr>
        <w:spacing w:line="360" w:lineRule="auto"/>
        <w:ind w:firstLine="480" w:firstLineChars="200"/>
        <w:rPr>
          <w:rFonts w:hint="eastAsia" w:ascii="仿宋" w:eastAsia="仿宋" w:cs="仿宋"/>
          <w:color w:val="auto"/>
          <w:sz w:val="24"/>
          <w:lang w:eastAsia="zh-CN"/>
        </w:rPr>
      </w:pPr>
      <w:r>
        <w:rPr>
          <w:rFonts w:hint="eastAsia" w:ascii="仿宋" w:eastAsia="仿宋" w:cs="仿宋"/>
          <w:color w:val="auto"/>
          <w:sz w:val="24"/>
          <w:lang w:eastAsia="zh-CN"/>
        </w:rPr>
        <w:t>本项目为</w:t>
      </w:r>
      <w:r>
        <w:rPr>
          <w:rFonts w:hint="eastAsia" w:ascii="仿宋" w:eastAsia="仿宋" w:cs="仿宋"/>
          <w:color w:val="auto"/>
          <w:sz w:val="24"/>
        </w:rPr>
        <w:t>富顺县中医医院</w:t>
      </w:r>
      <w:r>
        <w:rPr>
          <w:rFonts w:hint="eastAsia" w:ascii="仿宋" w:eastAsia="仿宋" w:cs="仿宋"/>
          <w:color w:val="auto"/>
          <w:sz w:val="24"/>
          <w:u w:val="single"/>
          <w:lang w:val="en-US" w:eastAsia="zh-CN"/>
        </w:rPr>
        <w:t xml:space="preserve">                         </w:t>
      </w:r>
      <w:r>
        <w:rPr>
          <w:rFonts w:hint="eastAsia" w:ascii="仿宋" w:eastAsia="仿宋" w:cs="仿宋"/>
          <w:color w:val="auto"/>
          <w:sz w:val="24"/>
        </w:rPr>
        <w:t>采购项目</w:t>
      </w:r>
      <w:r>
        <w:rPr>
          <w:rFonts w:hint="eastAsia" w:ascii="仿宋" w:eastAsia="仿宋" w:cs="仿宋"/>
          <w:color w:val="auto"/>
          <w:sz w:val="24"/>
          <w:lang w:val="en-US" w:eastAsia="zh-CN"/>
        </w:rPr>
        <w:t xml:space="preserve"> </w:t>
      </w:r>
      <w:r>
        <w:rPr>
          <w:rFonts w:hint="eastAsia" w:ascii="仿宋" w:eastAsia="仿宋" w:cs="仿宋"/>
          <w:color w:val="auto"/>
          <w:sz w:val="24"/>
          <w:lang w:eastAsia="zh-CN"/>
        </w:rPr>
        <w:t>，项目成交金额</w:t>
      </w:r>
      <w:r>
        <w:rPr>
          <w:rFonts w:hint="eastAsia" w:ascii="仿宋" w:eastAsia="仿宋" w:cs="仿宋"/>
          <w:color w:val="auto"/>
          <w:sz w:val="24"/>
          <w:u w:val="single"/>
          <w:lang w:val="en-US" w:eastAsia="zh-CN"/>
        </w:rPr>
        <w:t xml:space="preserve">      </w:t>
      </w:r>
      <w:r>
        <w:rPr>
          <w:rFonts w:hint="eastAsia" w:ascii="仿宋" w:eastAsia="仿宋" w:cs="仿宋"/>
          <w:color w:val="auto"/>
          <w:sz w:val="24"/>
          <w:lang w:eastAsia="zh-CN"/>
        </w:rPr>
        <w:t>元，大写</w:t>
      </w:r>
      <w:r>
        <w:rPr>
          <w:rFonts w:hint="eastAsia" w:ascii="仿宋" w:eastAsia="仿宋" w:cs="仿宋"/>
          <w:color w:val="auto"/>
          <w:sz w:val="24"/>
          <w:u w:val="single"/>
          <w:lang w:val="en-US" w:eastAsia="zh-CN"/>
        </w:rPr>
        <w:t xml:space="preserve">              </w:t>
      </w:r>
      <w:r>
        <w:rPr>
          <w:rFonts w:hint="eastAsia" w:ascii="仿宋" w:eastAsia="仿宋" w:cs="仿宋"/>
          <w:color w:val="auto"/>
          <w:sz w:val="24"/>
          <w:lang w:eastAsia="zh-CN"/>
        </w:rPr>
        <w:t>元整。</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 xml:space="preserve">    合同期限：自合同签订之日起1年。</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 xml:space="preserve">    服务地点：富顺县中医医院指定地点。</w:t>
      </w:r>
    </w:p>
    <w:p>
      <w:pPr>
        <w:spacing w:line="360" w:lineRule="auto"/>
        <w:ind w:firstLine="482" w:firstLineChars="200"/>
        <w:rPr>
          <w:rFonts w:hint="eastAsia" w:ascii="仿宋" w:eastAsia="仿宋" w:cs="仿宋"/>
          <w:color w:val="auto"/>
          <w:sz w:val="24"/>
          <w:lang w:eastAsia="zh-CN"/>
        </w:rPr>
      </w:pPr>
      <w:r>
        <w:rPr>
          <w:rFonts w:hint="eastAsia" w:ascii="仿宋" w:eastAsia="仿宋" w:cs="仿宋"/>
          <w:b/>
          <w:bCs/>
          <w:color w:val="auto"/>
          <w:sz w:val="24"/>
        </w:rPr>
        <w:t>二、服务要求</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u w:val="single"/>
        </w:rPr>
        <w:t>三、合同定价方式、付款进度和支付方式</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合同签订生效后，采购人收到有效票据10个工作日内支付合同总金额的</w:t>
      </w:r>
      <w:r>
        <w:rPr>
          <w:rFonts w:hint="eastAsia" w:ascii="仿宋" w:eastAsia="仿宋" w:cs="仿宋"/>
          <w:color w:val="auto"/>
          <w:sz w:val="24"/>
          <w:u w:val="single"/>
          <w:lang w:val="en-US" w:eastAsia="zh-CN"/>
        </w:rPr>
        <w:t xml:space="preserve">    </w:t>
      </w:r>
      <w:r>
        <w:rPr>
          <w:rFonts w:hint="eastAsia" w:ascii="仿宋" w:eastAsia="仿宋" w:cs="仿宋"/>
          <w:color w:val="auto"/>
          <w:sz w:val="24"/>
        </w:rPr>
        <w:t>%作为预付款（￥</w:t>
      </w:r>
      <w:r>
        <w:rPr>
          <w:rFonts w:hint="eastAsia" w:ascii="仿宋" w:eastAsia="仿宋" w:cs="仿宋"/>
          <w:color w:val="auto"/>
          <w:sz w:val="24"/>
          <w:u w:val="single"/>
          <w:lang w:val="en-US" w:eastAsia="zh-CN"/>
        </w:rPr>
        <w:t xml:space="preserve">   </w:t>
      </w:r>
      <w:r>
        <w:rPr>
          <w:rFonts w:hint="eastAsia" w:ascii="仿宋" w:eastAsia="仿宋" w:cs="仿宋"/>
          <w:color w:val="auto"/>
          <w:sz w:val="24"/>
          <w:u w:val="single"/>
        </w:rPr>
        <w:t xml:space="preserve"> </w:t>
      </w:r>
      <w:r>
        <w:rPr>
          <w:rFonts w:hint="eastAsia" w:ascii="仿宋" w:eastAsia="仿宋" w:cs="仿宋"/>
          <w:color w:val="auto"/>
          <w:sz w:val="24"/>
        </w:rPr>
        <w:t>元，大写：</w:t>
      </w:r>
      <w:r>
        <w:rPr>
          <w:rFonts w:hint="eastAsia" w:ascii="仿宋" w:eastAsia="仿宋" w:cs="仿宋"/>
          <w:color w:val="auto"/>
          <w:sz w:val="24"/>
          <w:u w:val="single"/>
          <w:lang w:val="en-US" w:eastAsia="zh-CN"/>
        </w:rPr>
        <w:t xml:space="preserve">     </w:t>
      </w:r>
      <w:r>
        <w:rPr>
          <w:rFonts w:hint="eastAsia" w:ascii="仿宋" w:eastAsia="仿宋" w:cs="仿宋"/>
          <w:color w:val="auto"/>
          <w:sz w:val="24"/>
        </w:rPr>
        <w:t>元整）；剩余部分货款根据按月实际用量结算，次月收到发票及相关凭证后30日内，支付上月结算货款。</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结算方式：</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以采购人实际需求按实际成交价结算。付款前，乙方须向甲方出具合法有效完整的发票及凭证资料后进行支付结算，付款方式均采用公对公的银行转账，甲方接受转账的开户信息以合同载明的为准。如因乙方未及时按照要求提供合法有效的发票导致逾期付款的，不视为甲方违约，甲方不承担任何责任。</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rPr>
        <w:t>本项目报价包含人员费用(含员工基本工资、绩效考核、社会保险费、福利费、法定假日加班费、服装费)、通讯费、低值易耗品费、固定资产折旧费(项目用电脑、对讲机、工具设备等)、人员培训费、管理费、合理利润、风险费、法定税费等与本项目相关的所有费用。</w:t>
      </w:r>
    </w:p>
    <w:p>
      <w:pPr>
        <w:spacing w:line="360" w:lineRule="auto"/>
        <w:ind w:firstLine="482" w:firstLineChars="200"/>
        <w:rPr>
          <w:rFonts w:hint="eastAsia" w:ascii="仿宋" w:eastAsia="仿宋" w:cs="仿宋"/>
          <w:color w:val="auto"/>
          <w:sz w:val="24"/>
          <w:lang w:eastAsia="zh-CN"/>
        </w:rPr>
      </w:pPr>
      <w:r>
        <w:rPr>
          <w:rFonts w:hint="eastAsia" w:ascii="仿宋" w:eastAsia="仿宋" w:cs="仿宋"/>
          <w:b/>
          <w:bCs/>
          <w:color w:val="auto"/>
          <w:sz w:val="24"/>
        </w:rPr>
        <w:t>四、履约保证金</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eastAsia="zh-CN"/>
        </w:rPr>
        <w:t>无</w:t>
      </w:r>
      <w:bookmarkStart w:id="143" w:name="_GoBack"/>
      <w:bookmarkEnd w:id="143"/>
    </w:p>
    <w:p>
      <w:pPr>
        <w:spacing w:line="360" w:lineRule="auto"/>
        <w:ind w:firstLine="482" w:firstLineChars="200"/>
        <w:rPr>
          <w:rFonts w:hint="eastAsia" w:ascii="仿宋" w:eastAsia="仿宋" w:cs="仿宋"/>
          <w:color w:val="auto"/>
          <w:sz w:val="24"/>
          <w:lang w:eastAsia="zh-CN"/>
        </w:rPr>
      </w:pPr>
      <w:r>
        <w:rPr>
          <w:rFonts w:hint="eastAsia" w:ascii="仿宋" w:eastAsia="仿宋" w:cs="仿宋"/>
          <w:b/>
          <w:bCs/>
          <w:color w:val="auto"/>
          <w:sz w:val="24"/>
        </w:rPr>
        <w:t>五、验收标准和方法</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严格按照《关于进一步加强政府采购需求和履约验收管理的指导意见》(财库(2016) 205号)</w:t>
      </w:r>
      <w:r>
        <w:rPr>
          <w:rFonts w:hint="eastAsia" w:ascii="仿宋" w:eastAsia="仿宋" w:cs="仿宋"/>
          <w:color w:val="auto"/>
          <w:sz w:val="24"/>
          <w:lang w:eastAsia="zh-CN"/>
        </w:rPr>
        <w:t>、本项目的招标文件、成交人的响应文件</w:t>
      </w:r>
      <w:r>
        <w:rPr>
          <w:rFonts w:hint="eastAsia" w:ascii="仿宋" w:eastAsia="仿宋" w:cs="仿宋"/>
          <w:color w:val="auto"/>
          <w:sz w:val="24"/>
        </w:rPr>
        <w:t>的要求进行验收。</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六、甲方的权利和义务</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1.甲方有权对合同规定范围内乙方的服务行为进行监督和检查，拥有监管权。有权定期核对乙方提供服务所配备的人员数量。对甲方认为不合理的部分</w:t>
      </w:r>
      <w:r>
        <w:rPr>
          <w:rFonts w:hint="eastAsia" w:ascii="仿宋" w:eastAsia="仿宋" w:cs="仿宋"/>
          <w:color w:val="auto"/>
          <w:sz w:val="24"/>
          <w:lang w:eastAsia="zh-CN"/>
        </w:rPr>
        <w:t>有权下达整改通知书，并要求乙方限期整改</w:t>
      </w:r>
      <w:r>
        <w:rPr>
          <w:rFonts w:hint="eastAsia" w:ascii="仿宋" w:eastAsia="仿宋" w:cs="仿宋"/>
          <w:color w:val="auto"/>
          <w:sz w:val="24"/>
        </w:rPr>
        <w:t>。</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2.根据本合同规定，按时向乙方支付应付服务费用。</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3.退货要求:如采购人在验收时发现广告宣传出现质量不合格、不符合环保标准或与采购人要求的材质、设计、颜色、尺寸有异等问题，成交供应商必须无条件更换有问题的广告物料，重新制作、安装等费用由供应商承担。</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4.</w:t>
      </w:r>
      <w:r>
        <w:rPr>
          <w:rFonts w:hint="eastAsia" w:ascii="仿宋" w:eastAsia="仿宋" w:cs="仿宋"/>
          <w:color w:val="auto"/>
          <w:sz w:val="24"/>
        </w:rPr>
        <w:t>国家法律、法规所规定由甲方承担的其它责任。</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七、乙方的权利和义务</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1.根据本合同的约定向甲方收取相关服务费用。</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2.接受项目行业管理部门及政府有关部门的指导，接受甲方的监督</w:t>
      </w:r>
      <w:r>
        <w:rPr>
          <w:rFonts w:hint="eastAsia" w:ascii="仿宋" w:eastAsia="仿宋" w:cs="仿宋"/>
          <w:color w:val="auto"/>
          <w:sz w:val="24"/>
          <w:lang w:eastAsia="zh-CN"/>
        </w:rPr>
        <w:t>；及时向甲方通告服务范围内有关服务的重大事项，协助配合处理相关检查、质疑投诉</w:t>
      </w:r>
      <w:r>
        <w:rPr>
          <w:rFonts w:hint="eastAsia" w:ascii="仿宋" w:eastAsia="仿宋" w:cs="仿宋"/>
          <w:color w:val="auto"/>
          <w:sz w:val="24"/>
        </w:rPr>
        <w:t>。</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3.在本项目为采购人提供服务(包括但不限于安装、维护、送货)的过程中，供应商做好安全施工保障，服务期间所发生的所有安全事故均由供应商自行承担全部责任。</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4</w:t>
      </w:r>
      <w:r>
        <w:rPr>
          <w:rFonts w:hint="eastAsia" w:ascii="仿宋" w:eastAsia="仿宋" w:cs="仿宋"/>
          <w:color w:val="auto"/>
          <w:sz w:val="24"/>
        </w:rPr>
        <w:t>.国家法律、法规所规定由乙方承担的其它责任。</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八、违约责任</w:t>
      </w:r>
    </w:p>
    <w:p>
      <w:pPr>
        <w:spacing w:line="360" w:lineRule="auto"/>
        <w:ind w:firstLine="480" w:firstLineChars="200"/>
        <w:rPr>
          <w:rFonts w:hint="eastAsia" w:ascii="仿宋" w:eastAsia="仿宋" w:cs="仿宋"/>
          <w:color w:val="auto"/>
          <w:sz w:val="24"/>
          <w:lang w:eastAsia="zh-CN"/>
        </w:rPr>
      </w:pPr>
      <w:r>
        <w:rPr>
          <w:rFonts w:hint="eastAsia" w:ascii="仿宋" w:eastAsia="仿宋" w:cs="仿宋"/>
          <w:color w:val="auto"/>
          <w:sz w:val="24"/>
        </w:rPr>
        <w:t>1.若甲方未按照合同约定逾期向乙方支付费用，每逾期一天，按应支付金额的</w:t>
      </w:r>
      <w:r>
        <w:rPr>
          <w:rFonts w:hint="eastAsia" w:ascii="仿宋" w:eastAsia="仿宋" w:cs="仿宋"/>
          <w:color w:val="auto"/>
          <w:sz w:val="24"/>
          <w:lang w:val="en-US" w:eastAsia="zh-CN"/>
        </w:rPr>
        <w:t xml:space="preserve">   </w:t>
      </w:r>
      <w:r>
        <w:rPr>
          <w:rFonts w:hint="eastAsia" w:ascii="仿宋" w:eastAsia="仿宋" w:cs="仿宋"/>
          <w:color w:val="auto"/>
          <w:sz w:val="24"/>
        </w:rPr>
        <w:t>‰作为违约金支付给乙方，直至实际支付之日</w:t>
      </w:r>
      <w:r>
        <w:rPr>
          <w:rFonts w:hint="eastAsia" w:ascii="仿宋" w:eastAsia="仿宋" w:cs="仿宋"/>
          <w:color w:val="auto"/>
          <w:sz w:val="24"/>
          <w:lang w:eastAsia="zh-CN"/>
        </w:rPr>
        <w:t>。</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2.因甲方原因导致变更、中止或者终止政府采购合同的，应对乙方受到的损失予以赔偿或者补偿。</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九、不可抗事件处理</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1.在合同有效期内，任何一方因战争、洪灾、台风、地震等不可抗力事件导致不能履行合同，则合同履行期可延长，其延长期与不可抗力事件影响期相同。</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2.受阻一方应在不可抗力事件发生后尽快用电话通知对方并于事故发生后</w:t>
      </w:r>
      <w:r>
        <w:rPr>
          <w:rFonts w:hint="eastAsia" w:ascii="仿宋" w:eastAsia="仿宋" w:cs="仿宋"/>
          <w:color w:val="auto"/>
          <w:sz w:val="24"/>
          <w:lang w:val="en-US" w:eastAsia="zh-CN"/>
        </w:rPr>
        <w:t xml:space="preserve">  </w:t>
      </w:r>
      <w:r>
        <w:rPr>
          <w:rFonts w:hint="eastAsia" w:ascii="仿宋" w:eastAsia="仿宋" w:cs="仿宋"/>
          <w:color w:val="auto"/>
          <w:sz w:val="24"/>
        </w:rPr>
        <w:t>天内将有关部门出具的证明文件等用特快专递或挂号信寄给对方审阅确认。</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3.不可抗力事件延续</w:t>
      </w:r>
      <w:r>
        <w:rPr>
          <w:rFonts w:hint="eastAsia" w:ascii="仿宋" w:eastAsia="仿宋" w:cs="仿宋"/>
          <w:color w:val="auto"/>
          <w:sz w:val="24"/>
          <w:u w:val="single"/>
          <w:lang w:val="en-US" w:eastAsia="zh-CN"/>
        </w:rPr>
        <w:t xml:space="preserve">   </w:t>
      </w:r>
      <w:r>
        <w:rPr>
          <w:rFonts w:hint="eastAsia" w:ascii="仿宋" w:eastAsia="仿宋" w:cs="仿宋"/>
          <w:color w:val="auto"/>
          <w:sz w:val="24"/>
        </w:rPr>
        <w:t>天以上，双方应通过友好协商，确定是否继续履行合同</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十、解决合同纠纷的方式</w:t>
      </w:r>
    </w:p>
    <w:p>
      <w:pPr>
        <w:spacing w:line="360" w:lineRule="auto"/>
        <w:ind w:firstLine="480" w:firstLineChars="200"/>
        <w:rPr>
          <w:rFonts w:hint="eastAsia" w:ascii="仿宋" w:eastAsia="仿宋" w:cs="仿宋"/>
          <w:color w:val="auto"/>
          <w:sz w:val="24"/>
          <w:lang w:val="en-US" w:eastAsia="zh-CN"/>
        </w:rPr>
      </w:pPr>
      <w:r>
        <w:rPr>
          <w:rFonts w:hint="eastAsia" w:ascii="仿宋" w:eastAsia="仿宋" w:cs="仿宋"/>
          <w:color w:val="auto"/>
          <w:sz w:val="24"/>
          <w:lang w:val="en-US" w:eastAsia="zh-CN"/>
        </w:rPr>
        <w:t>1.因服务的质量问题发生争议，由甲方或其指定的第三方机构进行质量鉴定。符合标准的，鉴定费由甲方承担；不符合质量标准的，鉴定费由乙方承担。</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2.</w:t>
      </w:r>
      <w:r>
        <w:rPr>
          <w:rFonts w:hint="eastAsia" w:ascii="仿宋" w:eastAsia="仿宋" w:cs="仿宋"/>
          <w:color w:val="auto"/>
          <w:sz w:val="24"/>
        </w:rPr>
        <w:t>合同履行期间，若双方发生争议，可协商或由有关部门调解解决，协商或调解不成的，向自贡市仲裁委员会申请仲裁。</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3.</w:t>
      </w:r>
      <w:r>
        <w:rPr>
          <w:rFonts w:hint="eastAsia" w:ascii="仿宋" w:eastAsia="仿宋" w:cs="仿宋"/>
          <w:color w:val="auto"/>
          <w:sz w:val="24"/>
        </w:rPr>
        <w:t>仲裁裁决应为最终决定，并对双方具有约束力。</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4.</w:t>
      </w:r>
      <w:r>
        <w:rPr>
          <w:rFonts w:hint="eastAsia" w:ascii="仿宋" w:eastAsia="仿宋" w:cs="仿宋"/>
          <w:color w:val="auto"/>
          <w:sz w:val="24"/>
        </w:rPr>
        <w:t>除另有裁决外，仲裁费应由败诉方负担。</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lang w:val="en-US" w:eastAsia="zh-CN"/>
        </w:rPr>
        <w:t>5.</w:t>
      </w:r>
      <w:r>
        <w:rPr>
          <w:rFonts w:hint="eastAsia" w:ascii="仿宋" w:eastAsia="仿宋" w:cs="仿宋"/>
          <w:color w:val="auto"/>
          <w:sz w:val="24"/>
        </w:rPr>
        <w:t>在仲裁期间，除正在进行仲裁部分外，合同其他部分继续执行。</w:t>
      </w:r>
    </w:p>
    <w:p>
      <w:pPr>
        <w:spacing w:line="360" w:lineRule="auto"/>
        <w:ind w:firstLine="482" w:firstLineChars="200"/>
        <w:rPr>
          <w:rFonts w:hint="eastAsia" w:ascii="仿宋" w:eastAsia="仿宋" w:cs="仿宋"/>
          <w:color w:val="auto"/>
          <w:sz w:val="24"/>
        </w:rPr>
      </w:pPr>
      <w:r>
        <w:rPr>
          <w:rFonts w:hint="eastAsia" w:ascii="仿宋" w:eastAsia="仿宋" w:cs="仿宋"/>
          <w:b/>
          <w:bCs/>
          <w:color w:val="auto"/>
          <w:sz w:val="24"/>
        </w:rPr>
        <w:t>十一、合同生效及其他</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1.合同经双方法定代表人或授权委托代理人签字并加盖公章后生效。</w:t>
      </w:r>
    </w:p>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2.政府采购合同履行中，甲方需追加与合同标的相同的</w:t>
      </w:r>
      <w:r>
        <w:rPr>
          <w:rFonts w:hint="eastAsia" w:ascii="仿宋" w:eastAsia="仿宋" w:cs="仿宋"/>
          <w:color w:val="auto"/>
          <w:sz w:val="24"/>
          <w:lang w:eastAsia="zh-CN"/>
        </w:rPr>
        <w:t>服务</w:t>
      </w:r>
      <w:r>
        <w:rPr>
          <w:rFonts w:hint="eastAsia" w:ascii="仿宋" w:eastAsia="仿宋" w:cs="仿宋"/>
          <w:color w:val="auto"/>
          <w:sz w:val="24"/>
        </w:rPr>
        <w:t>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spacing w:line="360" w:lineRule="auto"/>
        <w:ind w:firstLine="480" w:firstLineChars="200"/>
        <w:rPr>
          <w:rFonts w:hint="eastAsia" w:ascii="仿宋" w:eastAsia="仿宋" w:cs="仿宋"/>
          <w:color w:val="auto"/>
          <w:sz w:val="24"/>
          <w:lang w:eastAsia="zh-CN"/>
        </w:rPr>
      </w:pPr>
      <w:r>
        <w:rPr>
          <w:rFonts w:hint="eastAsia" w:ascii="仿宋" w:eastAsia="仿宋" w:cs="仿宋"/>
          <w:color w:val="auto"/>
          <w:sz w:val="24"/>
        </w:rPr>
        <w:t>3.本合同一式</w:t>
      </w:r>
      <w:r>
        <w:rPr>
          <w:rFonts w:hint="eastAsia" w:ascii="仿宋" w:eastAsia="仿宋" w:cs="仿宋"/>
          <w:color w:val="auto"/>
          <w:sz w:val="24"/>
          <w:lang w:val="en-US" w:eastAsia="zh-CN"/>
        </w:rPr>
        <w:t>5</w:t>
      </w:r>
      <w:r>
        <w:rPr>
          <w:rFonts w:hint="eastAsia" w:ascii="仿宋" w:eastAsia="仿宋" w:cs="仿宋"/>
          <w:color w:val="auto"/>
          <w:sz w:val="24"/>
        </w:rPr>
        <w:t>份，自双方签章之日起生效。甲方持有</w:t>
      </w:r>
      <w:r>
        <w:rPr>
          <w:rFonts w:hint="eastAsia" w:ascii="仿宋" w:eastAsia="仿宋" w:cs="仿宋"/>
          <w:color w:val="auto"/>
          <w:sz w:val="24"/>
          <w:lang w:val="en-US" w:eastAsia="zh-CN"/>
        </w:rPr>
        <w:t>4</w:t>
      </w:r>
      <w:r>
        <w:rPr>
          <w:rFonts w:hint="eastAsia" w:ascii="仿宋" w:eastAsia="仿宋" w:cs="仿宋"/>
          <w:color w:val="auto"/>
          <w:sz w:val="24"/>
        </w:rPr>
        <w:t>份，乙方持有1份，具有同等法律效力。</w:t>
      </w:r>
    </w:p>
    <w:p>
      <w:pPr>
        <w:spacing w:line="360" w:lineRule="auto"/>
        <w:ind w:firstLine="480" w:firstLineChars="200"/>
        <w:rPr>
          <w:rFonts w:hint="eastAsia" w:ascii="仿宋" w:eastAsia="仿宋" w:cs="仿宋"/>
          <w:color w:val="auto"/>
          <w:sz w:val="24"/>
          <w:lang w:eastAsia="zh-CN"/>
        </w:rPr>
      </w:pPr>
    </w:p>
    <w:p>
      <w:pPr>
        <w:pStyle w:val="2"/>
        <w:rPr>
          <w:rFonts w:hint="eastAsia"/>
          <w:lang w:eastAsia="zh-CN"/>
        </w:rPr>
      </w:pPr>
    </w:p>
    <w:tbl>
      <w:tblPr>
        <w:tblStyle w:val="27"/>
        <w:tblW w:w="50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7"/>
        <w:gridCol w:w="4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469" w:type="pct"/>
            <w:vAlign w:val="center"/>
          </w:tcPr>
          <w:p>
            <w:pPr>
              <w:spacing w:line="360" w:lineRule="auto"/>
              <w:ind w:firstLine="480" w:firstLineChars="200"/>
              <w:rPr>
                <w:rFonts w:hint="eastAsia" w:ascii="仿宋" w:eastAsia="仿宋" w:cs="仿宋"/>
                <w:color w:val="auto"/>
                <w:sz w:val="24"/>
                <w:lang w:eastAsia="zh-CN"/>
              </w:rPr>
            </w:pPr>
            <w:r>
              <w:rPr>
                <w:rFonts w:hint="eastAsia" w:ascii="仿宋" w:eastAsia="仿宋" w:cs="仿宋"/>
                <w:color w:val="auto"/>
                <w:sz w:val="24"/>
              </w:rPr>
              <w:t>甲方：富顺县中医医院</w:t>
            </w:r>
            <w:r>
              <w:rPr>
                <w:rFonts w:hint="eastAsia" w:ascii="仿宋" w:eastAsia="仿宋" w:cs="仿宋"/>
                <w:color w:val="auto"/>
                <w:sz w:val="24"/>
                <w:lang w:eastAsia="zh-CN"/>
              </w:rPr>
              <w:t>（</w:t>
            </w:r>
            <w:r>
              <w:rPr>
                <w:rFonts w:hint="eastAsia" w:ascii="仿宋" w:eastAsia="仿宋" w:cs="仿宋"/>
                <w:color w:val="auto"/>
                <w:sz w:val="24"/>
              </w:rPr>
              <w:t>盖章</w:t>
            </w:r>
            <w:r>
              <w:rPr>
                <w:rFonts w:hint="eastAsia" w:ascii="仿宋" w:eastAsia="仿宋" w:cs="仿宋"/>
                <w:color w:val="auto"/>
                <w:sz w:val="24"/>
                <w:lang w:eastAsia="zh-CN"/>
              </w:rPr>
              <w:t>）</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乙方：</w:t>
            </w:r>
            <w:r>
              <w:rPr>
                <w:rFonts w:hint="eastAsia" w:ascii="仿宋" w:eastAsia="仿宋" w:cs="仿宋"/>
                <w:color w:val="auto"/>
                <w:sz w:val="24"/>
                <w:lang w:eastAsia="zh-CN"/>
              </w:rPr>
              <w:t>（</w:t>
            </w:r>
            <w:r>
              <w:rPr>
                <w:rFonts w:hint="eastAsia" w:ascii="仿宋" w:eastAsia="仿宋" w:cs="仿宋"/>
                <w:color w:val="auto"/>
                <w:sz w:val="24"/>
              </w:rPr>
              <w:t>盖章</w:t>
            </w:r>
            <w:r>
              <w:rPr>
                <w:rFonts w:hint="eastAsia" w:ascii="仿宋" w:eastAsia="仿宋" w:cs="仿宋"/>
                <w:color w:val="auto"/>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法定代表人</w:t>
            </w:r>
            <w:r>
              <w:rPr>
                <w:rFonts w:hint="eastAsia" w:ascii="仿宋" w:eastAsia="仿宋" w:cs="仿宋"/>
                <w:color w:val="auto"/>
                <w:sz w:val="24"/>
                <w:lang w:eastAsia="zh-CN"/>
              </w:rPr>
              <w:t>（</w:t>
            </w:r>
            <w:r>
              <w:rPr>
                <w:rFonts w:hint="eastAsia" w:ascii="仿宋" w:eastAsia="仿宋" w:cs="仿宋"/>
                <w:color w:val="auto"/>
                <w:sz w:val="24"/>
              </w:rPr>
              <w:t>被授权人</w:t>
            </w:r>
            <w:r>
              <w:rPr>
                <w:rFonts w:hint="eastAsia" w:ascii="仿宋" w:eastAsia="仿宋" w:cs="仿宋"/>
                <w:color w:val="auto"/>
                <w:sz w:val="24"/>
                <w:lang w:eastAsia="zh-CN"/>
              </w:rPr>
              <w:t>）</w:t>
            </w:r>
            <w:r>
              <w:rPr>
                <w:rFonts w:hint="eastAsia" w:ascii="仿宋" w:eastAsia="仿宋" w:cs="仿宋"/>
                <w:color w:val="auto"/>
                <w:sz w:val="24"/>
              </w:rPr>
              <w:t>：</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法定代表人</w:t>
            </w:r>
            <w:r>
              <w:rPr>
                <w:rFonts w:hint="eastAsia" w:ascii="仿宋" w:eastAsia="仿宋" w:cs="仿宋"/>
                <w:color w:val="auto"/>
                <w:sz w:val="24"/>
                <w:lang w:eastAsia="zh-CN"/>
              </w:rPr>
              <w:t>（</w:t>
            </w:r>
            <w:r>
              <w:rPr>
                <w:rFonts w:hint="eastAsia" w:ascii="仿宋" w:eastAsia="仿宋" w:cs="仿宋"/>
                <w:color w:val="auto"/>
                <w:sz w:val="24"/>
              </w:rPr>
              <w:t>被授权人</w:t>
            </w:r>
            <w:r>
              <w:rPr>
                <w:rFonts w:hint="eastAsia" w:ascii="仿宋" w:eastAsia="仿宋" w:cs="仿宋"/>
                <w:color w:val="auto"/>
                <w:sz w:val="24"/>
                <w:lang w:eastAsia="zh-CN"/>
              </w:rPr>
              <w:t>）</w:t>
            </w:r>
            <w:r>
              <w:rPr>
                <w:rFonts w:hint="eastAsia" w:ascii="仿宋" w:eastAsia="仿宋" w:cs="仿宋"/>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地址</w:t>
            </w:r>
            <w:r>
              <w:rPr>
                <w:rFonts w:hint="eastAsia" w:ascii="仿宋" w:eastAsia="仿宋" w:cs="仿宋"/>
                <w:color w:val="auto"/>
                <w:sz w:val="24"/>
                <w:lang w:eastAsia="zh-CN"/>
              </w:rPr>
              <w:t>（</w:t>
            </w:r>
            <w:r>
              <w:rPr>
                <w:rFonts w:hint="eastAsia" w:ascii="仿宋" w:eastAsia="仿宋" w:cs="仿宋"/>
                <w:color w:val="auto"/>
                <w:sz w:val="24"/>
              </w:rPr>
              <w:t>住所</w:t>
            </w:r>
            <w:r>
              <w:rPr>
                <w:rFonts w:hint="eastAsia" w:ascii="仿宋" w:eastAsia="仿宋" w:cs="仿宋"/>
                <w:color w:val="auto"/>
                <w:sz w:val="24"/>
                <w:lang w:eastAsia="zh-CN"/>
              </w:rPr>
              <w:t>）</w:t>
            </w:r>
            <w:r>
              <w:rPr>
                <w:rFonts w:hint="eastAsia" w:ascii="仿宋" w:eastAsia="仿宋" w:cs="仿宋"/>
                <w:color w:val="auto"/>
                <w:sz w:val="24"/>
              </w:rPr>
              <w:t>：</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地址</w:t>
            </w:r>
            <w:r>
              <w:rPr>
                <w:rFonts w:hint="eastAsia" w:ascii="仿宋" w:eastAsia="仿宋" w:cs="仿宋"/>
                <w:color w:val="auto"/>
                <w:sz w:val="24"/>
                <w:lang w:eastAsia="zh-CN"/>
              </w:rPr>
              <w:t>（</w:t>
            </w:r>
            <w:r>
              <w:rPr>
                <w:rFonts w:hint="eastAsia" w:ascii="仿宋" w:eastAsia="仿宋" w:cs="仿宋"/>
                <w:color w:val="auto"/>
                <w:sz w:val="24"/>
              </w:rPr>
              <w:t>住所</w:t>
            </w:r>
            <w:r>
              <w:rPr>
                <w:rFonts w:hint="eastAsia" w:ascii="仿宋" w:eastAsia="仿宋" w:cs="仿宋"/>
                <w:color w:val="auto"/>
                <w:sz w:val="24"/>
                <w:lang w:eastAsia="zh-CN"/>
              </w:rPr>
              <w:t>）</w:t>
            </w:r>
            <w:r>
              <w:rPr>
                <w:rFonts w:hint="eastAsia" w:ascii="仿宋" w:eastAsia="仿宋" w:cs="仿宋"/>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开户银行：</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账号：</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电话：</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传真：</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469"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签约日期：    年  月  日</w:t>
            </w:r>
          </w:p>
        </w:tc>
        <w:tc>
          <w:tcPr>
            <w:tcW w:w="2530" w:type="pct"/>
            <w:vAlign w:val="center"/>
          </w:tcPr>
          <w:p>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签约日期：     年    月     日</w:t>
            </w:r>
          </w:p>
        </w:tc>
      </w:tr>
    </w:tbl>
    <w:p>
      <w:pPr>
        <w:pStyle w:val="5"/>
        <w:rPr>
          <w:rFonts w:hint="eastAsia" w:ascii="仿宋" w:hAnsi="仿宋" w:eastAsia="仿宋" w:cs="仿宋"/>
          <w:color w:val="auto"/>
          <w:sz w:val="36"/>
          <w:szCs w:val="36"/>
        </w:rPr>
      </w:pPr>
      <w:bookmarkStart w:id="140" w:name="_Toc6079"/>
      <w:bookmarkStart w:id="141" w:name="_Toc14066"/>
    </w:p>
    <w:p>
      <w:pPr>
        <w:pStyle w:val="5"/>
        <w:rPr>
          <w:rFonts w:hint="eastAsia" w:ascii="仿宋" w:hAnsi="仿宋" w:eastAsia="仿宋" w:cs="仿宋"/>
          <w:color w:val="auto"/>
          <w:sz w:val="36"/>
          <w:szCs w:val="36"/>
        </w:rPr>
        <w:sectPr>
          <w:pgSz w:w="11906" w:h="16838"/>
          <w:pgMar w:top="1134" w:right="1755" w:bottom="1134" w:left="1531" w:header="851" w:footer="850" w:gutter="0"/>
          <w:cols w:space="720" w:num="1"/>
          <w:titlePg/>
          <w:docGrid w:linePitch="312" w:charSpace="0"/>
        </w:sectPr>
      </w:pPr>
    </w:p>
    <w:p>
      <w:pPr>
        <w:pStyle w:val="5"/>
        <w:rPr>
          <w:rFonts w:ascii="仿宋" w:hAnsi="仿宋" w:eastAsia="仿宋" w:cs="仿宋"/>
          <w:color w:val="auto"/>
          <w:sz w:val="36"/>
          <w:szCs w:val="36"/>
        </w:rPr>
      </w:pPr>
      <w:r>
        <w:rPr>
          <w:rFonts w:hint="eastAsia" w:ascii="仿宋" w:hAnsi="仿宋" w:eastAsia="仿宋" w:cs="仿宋"/>
          <w:color w:val="auto"/>
          <w:sz w:val="36"/>
          <w:szCs w:val="36"/>
        </w:rPr>
        <w:t>第十章 附件</w:t>
      </w:r>
      <w:bookmarkEnd w:id="136"/>
      <w:bookmarkEnd w:id="137"/>
      <w:bookmarkEnd w:id="138"/>
      <w:bookmarkEnd w:id="139"/>
      <w:bookmarkEnd w:id="140"/>
      <w:bookmarkEnd w:id="141"/>
    </w:p>
    <w:p>
      <w:pPr>
        <w:spacing w:before="170"/>
        <w:jc w:val="center"/>
        <w:outlineLvl w:val="1"/>
        <w:rPr>
          <w:rFonts w:ascii="仿宋" w:hAnsi="仿宋" w:eastAsia="仿宋" w:cs="仿宋"/>
          <w:b/>
          <w:bCs/>
          <w:color w:val="auto"/>
          <w:sz w:val="36"/>
          <w:szCs w:val="36"/>
        </w:rPr>
      </w:pPr>
      <w:bookmarkStart w:id="142" w:name="_Toc13602"/>
      <w:r>
        <w:rPr>
          <w:rFonts w:hint="eastAsia" w:ascii="仿宋" w:hAnsi="仿宋" w:eastAsia="仿宋" w:cs="仿宋"/>
          <w:b/>
          <w:bCs/>
          <w:color w:val="auto"/>
          <w:sz w:val="36"/>
          <w:szCs w:val="36"/>
        </w:rPr>
        <w:t>供应商报名登记表</w:t>
      </w:r>
      <w:bookmarkEnd w:id="142"/>
    </w:p>
    <w:p>
      <w:pPr>
        <w:rPr>
          <w:color w:val="auto"/>
        </w:rPr>
      </w:pPr>
    </w:p>
    <w:tbl>
      <w:tblPr>
        <w:tblStyle w:val="26"/>
        <w:tblW w:w="8820" w:type="dxa"/>
        <w:jc w:val="center"/>
        <w:tblLayout w:type="fixed"/>
        <w:tblCellMar>
          <w:top w:w="0" w:type="dxa"/>
          <w:left w:w="108" w:type="dxa"/>
          <w:bottom w:w="0" w:type="dxa"/>
          <w:right w:w="108" w:type="dxa"/>
        </w:tblCellMar>
      </w:tblPr>
      <w:tblGrid>
        <w:gridCol w:w="2524"/>
        <w:gridCol w:w="6296"/>
      </w:tblGrid>
      <w:tr>
        <w:tblPrEx>
          <w:tblCellMar>
            <w:top w:w="0" w:type="dxa"/>
            <w:left w:w="108" w:type="dxa"/>
            <w:bottom w:w="0" w:type="dxa"/>
            <w:right w:w="108" w:type="dxa"/>
          </w:tblCellMar>
        </w:tblPrEx>
        <w:trPr>
          <w:trHeight w:val="571" w:hRule="atLeast"/>
          <w:jc w:val="center"/>
        </w:trPr>
        <w:tc>
          <w:tcPr>
            <w:tcW w:w="2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项目编号(※）</w:t>
            </w:r>
          </w:p>
        </w:tc>
        <w:tc>
          <w:tcPr>
            <w:tcW w:w="62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530" w:hRule="atLeast"/>
          <w:jc w:val="center"/>
        </w:trPr>
        <w:tc>
          <w:tcPr>
            <w:tcW w:w="25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项目名称(※）</w:t>
            </w:r>
          </w:p>
        </w:tc>
        <w:tc>
          <w:tcPr>
            <w:tcW w:w="6296"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634" w:hRule="atLeast"/>
          <w:jc w:val="center"/>
        </w:trPr>
        <w:tc>
          <w:tcPr>
            <w:tcW w:w="25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单位名称(※）</w:t>
            </w:r>
          </w:p>
        </w:tc>
        <w:tc>
          <w:tcPr>
            <w:tcW w:w="629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pPr>
              <w:spacing w:line="360" w:lineRule="auto"/>
              <w:jc w:val="right"/>
              <w:rPr>
                <w:rFonts w:ascii="仿宋" w:hAnsi="仿宋" w:eastAsia="仿宋" w:cs="仿宋"/>
                <w:color w:val="auto"/>
                <w:sz w:val="32"/>
                <w:szCs w:val="32"/>
              </w:rPr>
            </w:pPr>
            <w:r>
              <w:rPr>
                <w:rFonts w:hint="eastAsia" w:ascii="仿宋" w:hAnsi="仿宋" w:eastAsia="仿宋" w:cs="仿宋"/>
                <w:color w:val="auto"/>
                <w:sz w:val="24"/>
              </w:rPr>
              <w:t>(加盖公章)</w:t>
            </w:r>
          </w:p>
        </w:tc>
      </w:tr>
      <w:tr>
        <w:tblPrEx>
          <w:tblCellMar>
            <w:top w:w="0" w:type="dxa"/>
            <w:left w:w="108" w:type="dxa"/>
            <w:bottom w:w="0" w:type="dxa"/>
            <w:right w:w="108" w:type="dxa"/>
          </w:tblCellMar>
        </w:tblPrEx>
        <w:trPr>
          <w:trHeight w:val="611"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单位地址(※）</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66"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购买文件时间(※）</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7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包件号(※）</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6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联系人(※）</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9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单位固定电话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19"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经办人移动电话(※）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2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单位传真</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38"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电子邮箱(※）</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360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备    注</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24"/>
              </w:rPr>
            </w:pPr>
            <w:r>
              <w:rPr>
                <w:rFonts w:hint="eastAsia" w:ascii="仿宋" w:hAnsi="仿宋" w:eastAsia="仿宋" w:cs="仿宋"/>
                <w:color w:val="auto"/>
                <w:sz w:val="24"/>
              </w:rPr>
              <w:t>1、购买采购文件时须携带如下合法有效的证件（原件）：</w:t>
            </w:r>
          </w:p>
          <w:p>
            <w:pPr>
              <w:spacing w:line="360" w:lineRule="auto"/>
              <w:rPr>
                <w:rFonts w:ascii="仿宋" w:hAnsi="仿宋" w:eastAsia="仿宋" w:cs="仿宋"/>
                <w:color w:val="auto"/>
                <w:sz w:val="24"/>
              </w:rPr>
            </w:pPr>
            <w:r>
              <w:rPr>
                <w:rFonts w:hint="eastAsia" w:ascii="仿宋" w:hAnsi="仿宋" w:eastAsia="仿宋" w:cs="仿宋"/>
                <w:color w:val="auto"/>
                <w:sz w:val="24"/>
              </w:rPr>
              <w:t>①本表（即供应商报名登记表）；</w:t>
            </w:r>
          </w:p>
          <w:p>
            <w:pPr>
              <w:spacing w:line="360" w:lineRule="auto"/>
              <w:rPr>
                <w:rFonts w:ascii="仿宋" w:hAnsi="仿宋" w:eastAsia="仿宋" w:cs="仿宋"/>
                <w:color w:val="auto"/>
                <w:sz w:val="24"/>
              </w:rPr>
            </w:pPr>
            <w:r>
              <w:rPr>
                <w:rFonts w:hint="eastAsia" w:ascii="仿宋" w:hAnsi="仿宋" w:eastAsia="仿宋" w:cs="仿宋"/>
                <w:color w:val="auto"/>
                <w:sz w:val="24"/>
              </w:rPr>
              <w:t>②供应商介绍信原件（加盖公章）；</w:t>
            </w:r>
          </w:p>
          <w:p>
            <w:pPr>
              <w:spacing w:line="360" w:lineRule="auto"/>
              <w:rPr>
                <w:rFonts w:ascii="仿宋" w:hAnsi="仿宋" w:eastAsia="仿宋" w:cs="仿宋"/>
                <w:color w:val="auto"/>
                <w:sz w:val="24"/>
              </w:rPr>
            </w:pPr>
            <w:r>
              <w:rPr>
                <w:rFonts w:hint="eastAsia" w:ascii="仿宋" w:hAnsi="仿宋" w:eastAsia="仿宋" w:cs="仿宋"/>
                <w:color w:val="auto"/>
                <w:sz w:val="24"/>
              </w:rPr>
              <w:t>③供应商经办人身份证影印件（加盖公章）；</w:t>
            </w:r>
          </w:p>
          <w:p>
            <w:pPr>
              <w:spacing w:line="360" w:lineRule="auto"/>
              <w:rPr>
                <w:rFonts w:ascii="仿宋" w:hAnsi="仿宋" w:eastAsia="仿宋" w:cs="仿宋"/>
                <w:color w:val="auto"/>
                <w:sz w:val="24"/>
              </w:rPr>
            </w:pPr>
            <w:r>
              <w:rPr>
                <w:rFonts w:hint="eastAsia" w:ascii="仿宋" w:hAnsi="仿宋" w:eastAsia="仿宋" w:cs="仿宋"/>
                <w:color w:val="auto"/>
                <w:sz w:val="24"/>
              </w:rPr>
              <w:t>采用邮购方式的供应商请将上述资料电子版传至我司邮箱：jrzb8222@126.com，联系电话：0813-8108222。</w:t>
            </w:r>
          </w:p>
          <w:p>
            <w:pPr>
              <w:spacing w:line="360" w:lineRule="auto"/>
              <w:rPr>
                <w:rFonts w:ascii="仿宋" w:hAnsi="仿宋" w:eastAsia="仿宋" w:cs="仿宋"/>
                <w:color w:val="auto"/>
                <w:sz w:val="24"/>
              </w:rPr>
            </w:pPr>
            <w:r>
              <w:rPr>
                <w:rFonts w:hint="eastAsia" w:ascii="仿宋" w:hAnsi="仿宋" w:eastAsia="仿宋" w:cs="仿宋"/>
                <w:color w:val="auto"/>
                <w:sz w:val="24"/>
              </w:rPr>
              <w:t>2、带※号为必填项；</w:t>
            </w:r>
          </w:p>
          <w:p>
            <w:pPr>
              <w:spacing w:line="360" w:lineRule="auto"/>
              <w:rPr>
                <w:rFonts w:ascii="仿宋" w:hAnsi="仿宋" w:eastAsia="仿宋" w:cs="仿宋"/>
                <w:color w:val="auto"/>
                <w:sz w:val="24"/>
              </w:rPr>
            </w:pPr>
            <w:r>
              <w:rPr>
                <w:rFonts w:hint="eastAsia" w:ascii="仿宋" w:hAnsi="仿宋" w:eastAsia="仿宋" w:cs="仿宋"/>
                <w:color w:val="auto"/>
                <w:sz w:val="24"/>
              </w:rPr>
              <w:t>3、无包件号填“/”。</w:t>
            </w:r>
          </w:p>
        </w:tc>
      </w:tr>
    </w:tbl>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tabs>
          <w:tab w:val="left" w:pos="1349"/>
        </w:tabs>
        <w:rPr>
          <w:rFonts w:ascii="仿宋" w:hAnsi="仿宋" w:eastAsia="仿宋" w:cs="仿宋"/>
          <w:color w:val="auto"/>
          <w:sz w:val="10"/>
          <w:szCs w:val="10"/>
        </w:rPr>
      </w:pPr>
      <w:r>
        <w:rPr>
          <w:rFonts w:hint="eastAsia" w:ascii="仿宋" w:hAnsi="仿宋" w:eastAsia="仿宋" w:cs="仿宋"/>
          <w:color w:val="auto"/>
          <w:sz w:val="10"/>
          <w:szCs w:val="10"/>
        </w:rPr>
        <w:tab/>
      </w:r>
    </w:p>
    <w:sectPr>
      <w:pgSz w:w="11906" w:h="16838"/>
      <w:pgMar w:top="1134" w:right="1755" w:bottom="1134" w:left="1531"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Noto Sans CJK JP Regular">
    <w:altName w:val="宋体"/>
    <w:panose1 w:val="00000000000000000000"/>
    <w:charset w:val="86"/>
    <w:family w:val="swiss"/>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1"/>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xD+/YAQAAsg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TYllBgd++fH98vP3&#10;5dc38nqd9Ok91Jh27zExDu/cgFsznwMeJtqDDCb9kRDBOKp7vqorhkh4ulStqqrEEMfY7CB+8Xjd&#10;B4jvhTMkGQ0NOL6sKjt9hDimzimpmnV3Sus8Qm1Jj6g31fom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9zEP79gBAACyAwAADgAAAAAAAAAB&#10;ACAAAAAiAQAAZHJzL2Uyb0RvYy54bWxQSwUGAAAAAAYABgBZAQAAbAU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109</w:t>
                    </w:r>
                    <w: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drawing>
        <wp:inline distT="0" distB="0" distL="0" distR="0">
          <wp:extent cx="1276350" cy="323850"/>
          <wp:effectExtent l="19050" t="0" r="0" b="0"/>
          <wp:docPr id="1" name="图片 2"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875"/>
        <w:tab w:val="left" w:pos="6180"/>
      </w:tabs>
      <w:jc w:val="left"/>
    </w:pPr>
    <w:r>
      <w:rPr>
        <w:rFonts w:hint="eastAsia"/>
      </w:rPr>
      <w:drawing>
        <wp:inline distT="0" distB="0" distL="0" distR="0">
          <wp:extent cx="1276350" cy="323850"/>
          <wp:effectExtent l="19050" t="0" r="0" b="0"/>
          <wp:docPr id="3" name="图片 4"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a:effec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27" name="图片 27"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20323175(1)"/>
                  <pic:cNvPicPr>
                    <a:picLocks noChangeAspect="1" noChangeArrowheads="1"/>
                  </pic:cNvPicPr>
                </pic:nvPicPr>
                <pic:blipFill>
                  <a:blip r:embed="rId1"/>
                  <a:srcRect/>
                  <a:stretch>
                    <a:fillRect/>
                  </a:stretch>
                </pic:blipFill>
                <pic:spPr>
                  <a:xfrm>
                    <a:off x="0" y="0"/>
                    <a:ext cx="1119505" cy="264160"/>
                  </a:xfrm>
                  <a:prstGeom prst="rect">
                    <a:avLst/>
                  </a:prstGeom>
                  <a:noFill/>
                  <a:ln w="9525">
                    <a:noFill/>
                    <a:miter lim="800000"/>
                    <a:headEnd/>
                    <a:tailEnd/>
                  </a:ln>
                  <a:effectLst/>
                </pic:spPr>
              </pic:pic>
            </a:graphicData>
          </a:graphic>
        </wp:anchor>
      </w:drawing>
    </w:r>
  </w:p>
  <w:p>
    <w:pPr>
      <w:pStyle w:val="22"/>
      <w:jc w:val="left"/>
    </w:pPr>
  </w:p>
  <w:p>
    <w:pPr>
      <w:pStyle w:val="22"/>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51FFD"/>
    <w:multiLevelType w:val="singleLevel"/>
    <w:tmpl w:val="9AF51FFD"/>
    <w:lvl w:ilvl="0" w:tentative="0">
      <w:start w:val="3"/>
      <w:numFmt w:val="chineseCounting"/>
      <w:suff w:val="space"/>
      <w:lvlText w:val="第%1部分"/>
      <w:lvlJc w:val="left"/>
      <w:rPr>
        <w:rFonts w:hint="eastAsia"/>
      </w:rPr>
    </w:lvl>
  </w:abstractNum>
  <w:abstractNum w:abstractNumId="1">
    <w:nsid w:val="AE90FDBB"/>
    <w:multiLevelType w:val="singleLevel"/>
    <w:tmpl w:val="AE90FDBB"/>
    <w:lvl w:ilvl="0" w:tentative="0">
      <w:start w:val="1"/>
      <w:numFmt w:val="chineseCounting"/>
      <w:suff w:val="nothing"/>
      <w:lvlText w:val="%1、"/>
      <w:lvlJc w:val="left"/>
      <w:rPr>
        <w:rFonts w:hint="eastAsia"/>
      </w:rPr>
    </w:lvl>
  </w:abstractNum>
  <w:abstractNum w:abstractNumId="2">
    <w:nsid w:val="C6FEDB60"/>
    <w:multiLevelType w:val="singleLevel"/>
    <w:tmpl w:val="C6FEDB60"/>
    <w:lvl w:ilvl="0" w:tentative="0">
      <w:start w:val="2"/>
      <w:numFmt w:val="decimal"/>
      <w:lvlText w:val="%1."/>
      <w:lvlJc w:val="left"/>
      <w:pPr>
        <w:tabs>
          <w:tab w:val="left" w:pos="312"/>
        </w:tabs>
      </w:pPr>
    </w:lvl>
  </w:abstractNum>
  <w:abstractNum w:abstractNumId="3">
    <w:nsid w:val="E768029D"/>
    <w:multiLevelType w:val="singleLevel"/>
    <w:tmpl w:val="E768029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ZGY5YmE5NmVkZWI4ZmMzYjExYWQ5OWZlMTVkODUifQ=="/>
    <w:docVar w:name="KSO_WPS_MARK_KEY" w:val="0ecf6735-0faf-4da5-b39e-84b9bf466ad0"/>
  </w:docVars>
  <w:rsids>
    <w:rsidRoot w:val="00172A27"/>
    <w:rsid w:val="00011638"/>
    <w:rsid w:val="00027FF3"/>
    <w:rsid w:val="00034AC4"/>
    <w:rsid w:val="000368CF"/>
    <w:rsid w:val="00037E43"/>
    <w:rsid w:val="0005149A"/>
    <w:rsid w:val="000741F4"/>
    <w:rsid w:val="00074E7D"/>
    <w:rsid w:val="00075CB6"/>
    <w:rsid w:val="000A270B"/>
    <w:rsid w:val="000A51B9"/>
    <w:rsid w:val="000A5F34"/>
    <w:rsid w:val="000A7056"/>
    <w:rsid w:val="000B1791"/>
    <w:rsid w:val="000B4B3B"/>
    <w:rsid w:val="000C23EE"/>
    <w:rsid w:val="000D2B89"/>
    <w:rsid w:val="000D62C3"/>
    <w:rsid w:val="000D74C6"/>
    <w:rsid w:val="00100A53"/>
    <w:rsid w:val="00105DB8"/>
    <w:rsid w:val="00107CB4"/>
    <w:rsid w:val="00110282"/>
    <w:rsid w:val="00110591"/>
    <w:rsid w:val="001168CF"/>
    <w:rsid w:val="00121DF9"/>
    <w:rsid w:val="0012647F"/>
    <w:rsid w:val="001310FD"/>
    <w:rsid w:val="00133459"/>
    <w:rsid w:val="001362AE"/>
    <w:rsid w:val="00143103"/>
    <w:rsid w:val="001471A3"/>
    <w:rsid w:val="0015588B"/>
    <w:rsid w:val="00157CC3"/>
    <w:rsid w:val="00172A27"/>
    <w:rsid w:val="001812E2"/>
    <w:rsid w:val="00182D8C"/>
    <w:rsid w:val="001C0141"/>
    <w:rsid w:val="001C054F"/>
    <w:rsid w:val="001D4D3B"/>
    <w:rsid w:val="001D7A66"/>
    <w:rsid w:val="001F2F3A"/>
    <w:rsid w:val="001F7B9F"/>
    <w:rsid w:val="00207586"/>
    <w:rsid w:val="00212A1E"/>
    <w:rsid w:val="00220AD8"/>
    <w:rsid w:val="0022165C"/>
    <w:rsid w:val="00243473"/>
    <w:rsid w:val="002632C1"/>
    <w:rsid w:val="00265A2C"/>
    <w:rsid w:val="002814F0"/>
    <w:rsid w:val="002A3435"/>
    <w:rsid w:val="002B0BC4"/>
    <w:rsid w:val="002B0FE6"/>
    <w:rsid w:val="002B4B3C"/>
    <w:rsid w:val="002C0B91"/>
    <w:rsid w:val="002C0C98"/>
    <w:rsid w:val="002E4FB6"/>
    <w:rsid w:val="00301603"/>
    <w:rsid w:val="00305E5C"/>
    <w:rsid w:val="0031441E"/>
    <w:rsid w:val="00320E1A"/>
    <w:rsid w:val="0032125B"/>
    <w:rsid w:val="003252A9"/>
    <w:rsid w:val="00330D5E"/>
    <w:rsid w:val="00335EB1"/>
    <w:rsid w:val="00336D0C"/>
    <w:rsid w:val="003503AE"/>
    <w:rsid w:val="00367326"/>
    <w:rsid w:val="00370FAE"/>
    <w:rsid w:val="003864F0"/>
    <w:rsid w:val="0038745C"/>
    <w:rsid w:val="00393D49"/>
    <w:rsid w:val="003A3B78"/>
    <w:rsid w:val="003A77DE"/>
    <w:rsid w:val="003B644E"/>
    <w:rsid w:val="003C196D"/>
    <w:rsid w:val="003C1EEC"/>
    <w:rsid w:val="003C68BB"/>
    <w:rsid w:val="003E23D6"/>
    <w:rsid w:val="0040222F"/>
    <w:rsid w:val="004040C2"/>
    <w:rsid w:val="00406C10"/>
    <w:rsid w:val="00416398"/>
    <w:rsid w:val="004177C1"/>
    <w:rsid w:val="00417901"/>
    <w:rsid w:val="00427785"/>
    <w:rsid w:val="004350F3"/>
    <w:rsid w:val="00443A55"/>
    <w:rsid w:val="00447921"/>
    <w:rsid w:val="00450A8D"/>
    <w:rsid w:val="004547E7"/>
    <w:rsid w:val="00466A1A"/>
    <w:rsid w:val="00475494"/>
    <w:rsid w:val="004846D6"/>
    <w:rsid w:val="00496FE4"/>
    <w:rsid w:val="004A1767"/>
    <w:rsid w:val="004A5CB5"/>
    <w:rsid w:val="004B3B5A"/>
    <w:rsid w:val="004B6650"/>
    <w:rsid w:val="004C0E76"/>
    <w:rsid w:val="004C1EB5"/>
    <w:rsid w:val="004D1A1E"/>
    <w:rsid w:val="004D3770"/>
    <w:rsid w:val="004E4892"/>
    <w:rsid w:val="004F0233"/>
    <w:rsid w:val="004F451F"/>
    <w:rsid w:val="00511A60"/>
    <w:rsid w:val="005175BD"/>
    <w:rsid w:val="005348B1"/>
    <w:rsid w:val="00536861"/>
    <w:rsid w:val="0053709D"/>
    <w:rsid w:val="00545335"/>
    <w:rsid w:val="00545758"/>
    <w:rsid w:val="005638BB"/>
    <w:rsid w:val="00564779"/>
    <w:rsid w:val="00573F38"/>
    <w:rsid w:val="00590B0B"/>
    <w:rsid w:val="00592CE7"/>
    <w:rsid w:val="00594FC2"/>
    <w:rsid w:val="0059516E"/>
    <w:rsid w:val="005A03F6"/>
    <w:rsid w:val="005B71C2"/>
    <w:rsid w:val="005B7EF1"/>
    <w:rsid w:val="005C71B0"/>
    <w:rsid w:val="005E7ADE"/>
    <w:rsid w:val="005F7284"/>
    <w:rsid w:val="00603EEA"/>
    <w:rsid w:val="00615C7B"/>
    <w:rsid w:val="0062041D"/>
    <w:rsid w:val="006269E0"/>
    <w:rsid w:val="006350DC"/>
    <w:rsid w:val="0065060D"/>
    <w:rsid w:val="0065734C"/>
    <w:rsid w:val="0067172B"/>
    <w:rsid w:val="0067480F"/>
    <w:rsid w:val="00676446"/>
    <w:rsid w:val="00677E49"/>
    <w:rsid w:val="00691980"/>
    <w:rsid w:val="00694F6D"/>
    <w:rsid w:val="006A0F0B"/>
    <w:rsid w:val="006C04F0"/>
    <w:rsid w:val="006D0986"/>
    <w:rsid w:val="006D15FD"/>
    <w:rsid w:val="006D509D"/>
    <w:rsid w:val="006D5942"/>
    <w:rsid w:val="006E1614"/>
    <w:rsid w:val="006E36B8"/>
    <w:rsid w:val="006E420C"/>
    <w:rsid w:val="00703FE7"/>
    <w:rsid w:val="007106CA"/>
    <w:rsid w:val="007132DD"/>
    <w:rsid w:val="00716D59"/>
    <w:rsid w:val="00717877"/>
    <w:rsid w:val="00754C59"/>
    <w:rsid w:val="00761AA2"/>
    <w:rsid w:val="00773330"/>
    <w:rsid w:val="0077490E"/>
    <w:rsid w:val="00775236"/>
    <w:rsid w:val="0078024A"/>
    <w:rsid w:val="0078474B"/>
    <w:rsid w:val="007A6FD3"/>
    <w:rsid w:val="007B3520"/>
    <w:rsid w:val="007B5094"/>
    <w:rsid w:val="007C2765"/>
    <w:rsid w:val="007D0136"/>
    <w:rsid w:val="007D3165"/>
    <w:rsid w:val="007E1713"/>
    <w:rsid w:val="007E706D"/>
    <w:rsid w:val="007F4FC8"/>
    <w:rsid w:val="008049CB"/>
    <w:rsid w:val="0080718B"/>
    <w:rsid w:val="008127E2"/>
    <w:rsid w:val="0081362D"/>
    <w:rsid w:val="008179DF"/>
    <w:rsid w:val="00837270"/>
    <w:rsid w:val="0084784E"/>
    <w:rsid w:val="00850DC9"/>
    <w:rsid w:val="00853068"/>
    <w:rsid w:val="008660F3"/>
    <w:rsid w:val="008703FA"/>
    <w:rsid w:val="008743E2"/>
    <w:rsid w:val="008A511D"/>
    <w:rsid w:val="008A5882"/>
    <w:rsid w:val="008B409A"/>
    <w:rsid w:val="008C7A34"/>
    <w:rsid w:val="008E6930"/>
    <w:rsid w:val="008F14D9"/>
    <w:rsid w:val="00902A78"/>
    <w:rsid w:val="00927CAC"/>
    <w:rsid w:val="00934C27"/>
    <w:rsid w:val="00937D74"/>
    <w:rsid w:val="00940638"/>
    <w:rsid w:val="00940DBD"/>
    <w:rsid w:val="00943180"/>
    <w:rsid w:val="0094458A"/>
    <w:rsid w:val="0094757C"/>
    <w:rsid w:val="00961153"/>
    <w:rsid w:val="00965725"/>
    <w:rsid w:val="00972A36"/>
    <w:rsid w:val="009B00E2"/>
    <w:rsid w:val="009D33BA"/>
    <w:rsid w:val="009D7535"/>
    <w:rsid w:val="009E5C24"/>
    <w:rsid w:val="009E761E"/>
    <w:rsid w:val="009F16BB"/>
    <w:rsid w:val="009F56F9"/>
    <w:rsid w:val="00A129D6"/>
    <w:rsid w:val="00A20007"/>
    <w:rsid w:val="00A21329"/>
    <w:rsid w:val="00A271EA"/>
    <w:rsid w:val="00A35175"/>
    <w:rsid w:val="00A40793"/>
    <w:rsid w:val="00A446EE"/>
    <w:rsid w:val="00A464D9"/>
    <w:rsid w:val="00A56CC1"/>
    <w:rsid w:val="00A61223"/>
    <w:rsid w:val="00A612C6"/>
    <w:rsid w:val="00A67069"/>
    <w:rsid w:val="00A7756B"/>
    <w:rsid w:val="00A7757B"/>
    <w:rsid w:val="00A80C9C"/>
    <w:rsid w:val="00A82169"/>
    <w:rsid w:val="00A82B2B"/>
    <w:rsid w:val="00A860D6"/>
    <w:rsid w:val="00AA35A3"/>
    <w:rsid w:val="00AA6B79"/>
    <w:rsid w:val="00AB0F96"/>
    <w:rsid w:val="00AB4A30"/>
    <w:rsid w:val="00AB685D"/>
    <w:rsid w:val="00AC1694"/>
    <w:rsid w:val="00AE4D80"/>
    <w:rsid w:val="00AE5F59"/>
    <w:rsid w:val="00AE60ED"/>
    <w:rsid w:val="00B06ECF"/>
    <w:rsid w:val="00B1500A"/>
    <w:rsid w:val="00B157C2"/>
    <w:rsid w:val="00B16E97"/>
    <w:rsid w:val="00B36348"/>
    <w:rsid w:val="00B53431"/>
    <w:rsid w:val="00B724E7"/>
    <w:rsid w:val="00B728FC"/>
    <w:rsid w:val="00B81FF5"/>
    <w:rsid w:val="00B96F72"/>
    <w:rsid w:val="00BA5BB1"/>
    <w:rsid w:val="00BA6D01"/>
    <w:rsid w:val="00BA7D4F"/>
    <w:rsid w:val="00BC0492"/>
    <w:rsid w:val="00BC42EA"/>
    <w:rsid w:val="00BD2700"/>
    <w:rsid w:val="00BD5DB8"/>
    <w:rsid w:val="00BE0CDA"/>
    <w:rsid w:val="00BE3316"/>
    <w:rsid w:val="00BE7E00"/>
    <w:rsid w:val="00C011EB"/>
    <w:rsid w:val="00C01C66"/>
    <w:rsid w:val="00C077D6"/>
    <w:rsid w:val="00C10763"/>
    <w:rsid w:val="00C1434A"/>
    <w:rsid w:val="00C32B48"/>
    <w:rsid w:val="00C3544C"/>
    <w:rsid w:val="00C35F4A"/>
    <w:rsid w:val="00C41428"/>
    <w:rsid w:val="00C42592"/>
    <w:rsid w:val="00C6202A"/>
    <w:rsid w:val="00C62FCE"/>
    <w:rsid w:val="00C63567"/>
    <w:rsid w:val="00C63E0B"/>
    <w:rsid w:val="00C71F19"/>
    <w:rsid w:val="00C77A24"/>
    <w:rsid w:val="00CA4BF2"/>
    <w:rsid w:val="00CB238B"/>
    <w:rsid w:val="00CB700F"/>
    <w:rsid w:val="00CC2E59"/>
    <w:rsid w:val="00CD2434"/>
    <w:rsid w:val="00D15F23"/>
    <w:rsid w:val="00D26A22"/>
    <w:rsid w:val="00D355E8"/>
    <w:rsid w:val="00D53FA0"/>
    <w:rsid w:val="00D64044"/>
    <w:rsid w:val="00D85BFB"/>
    <w:rsid w:val="00D87EFB"/>
    <w:rsid w:val="00D95E4B"/>
    <w:rsid w:val="00DB588E"/>
    <w:rsid w:val="00DD23BA"/>
    <w:rsid w:val="00DD3581"/>
    <w:rsid w:val="00DD50AC"/>
    <w:rsid w:val="00DD5B81"/>
    <w:rsid w:val="00DE185C"/>
    <w:rsid w:val="00DE24B8"/>
    <w:rsid w:val="00DF11AF"/>
    <w:rsid w:val="00DF18C1"/>
    <w:rsid w:val="00DF3470"/>
    <w:rsid w:val="00DF5E24"/>
    <w:rsid w:val="00DF7C15"/>
    <w:rsid w:val="00E02A96"/>
    <w:rsid w:val="00E11430"/>
    <w:rsid w:val="00E2537C"/>
    <w:rsid w:val="00E42984"/>
    <w:rsid w:val="00E714C0"/>
    <w:rsid w:val="00E77514"/>
    <w:rsid w:val="00E96A5C"/>
    <w:rsid w:val="00EA0442"/>
    <w:rsid w:val="00EA150D"/>
    <w:rsid w:val="00EA70EC"/>
    <w:rsid w:val="00EB3995"/>
    <w:rsid w:val="00EB56DF"/>
    <w:rsid w:val="00EB6086"/>
    <w:rsid w:val="00EC7011"/>
    <w:rsid w:val="00ED20F6"/>
    <w:rsid w:val="00ED2E55"/>
    <w:rsid w:val="00ED6BD2"/>
    <w:rsid w:val="00EF198D"/>
    <w:rsid w:val="00EF2F88"/>
    <w:rsid w:val="00EF3BA3"/>
    <w:rsid w:val="00F044EC"/>
    <w:rsid w:val="00F07CAA"/>
    <w:rsid w:val="00F10AF6"/>
    <w:rsid w:val="00F21475"/>
    <w:rsid w:val="00F225E9"/>
    <w:rsid w:val="00F415F2"/>
    <w:rsid w:val="00F41A15"/>
    <w:rsid w:val="00F44787"/>
    <w:rsid w:val="00F537A5"/>
    <w:rsid w:val="00F54396"/>
    <w:rsid w:val="00F56572"/>
    <w:rsid w:val="00F56D0D"/>
    <w:rsid w:val="00F701F9"/>
    <w:rsid w:val="00F71C21"/>
    <w:rsid w:val="00F71CC9"/>
    <w:rsid w:val="00F71E41"/>
    <w:rsid w:val="00F86120"/>
    <w:rsid w:val="00F95473"/>
    <w:rsid w:val="00F96194"/>
    <w:rsid w:val="00FA0156"/>
    <w:rsid w:val="00FA01EC"/>
    <w:rsid w:val="00FB0BD7"/>
    <w:rsid w:val="00FC6AE9"/>
    <w:rsid w:val="00FD0237"/>
    <w:rsid w:val="00FD52C8"/>
    <w:rsid w:val="00FE283A"/>
    <w:rsid w:val="00FE4815"/>
    <w:rsid w:val="00FE6049"/>
    <w:rsid w:val="00FF7C2E"/>
    <w:rsid w:val="00FF7EC6"/>
    <w:rsid w:val="01010551"/>
    <w:rsid w:val="01074C13"/>
    <w:rsid w:val="010B7146"/>
    <w:rsid w:val="010F1AD8"/>
    <w:rsid w:val="01174A7F"/>
    <w:rsid w:val="011A224F"/>
    <w:rsid w:val="011D2624"/>
    <w:rsid w:val="011F04D2"/>
    <w:rsid w:val="01266564"/>
    <w:rsid w:val="0132019A"/>
    <w:rsid w:val="013553D0"/>
    <w:rsid w:val="01457BCF"/>
    <w:rsid w:val="01521C8D"/>
    <w:rsid w:val="01581590"/>
    <w:rsid w:val="01587514"/>
    <w:rsid w:val="015E0D27"/>
    <w:rsid w:val="01621B95"/>
    <w:rsid w:val="01703299"/>
    <w:rsid w:val="017D293B"/>
    <w:rsid w:val="01991DFB"/>
    <w:rsid w:val="019E59BA"/>
    <w:rsid w:val="019F2C19"/>
    <w:rsid w:val="01A77EF1"/>
    <w:rsid w:val="01AF01E7"/>
    <w:rsid w:val="01B25538"/>
    <w:rsid w:val="01C501FE"/>
    <w:rsid w:val="01C56060"/>
    <w:rsid w:val="01CC5EE4"/>
    <w:rsid w:val="01D8057D"/>
    <w:rsid w:val="01D93B6E"/>
    <w:rsid w:val="01DD654B"/>
    <w:rsid w:val="01DF690F"/>
    <w:rsid w:val="01EB5D3D"/>
    <w:rsid w:val="01ED51FD"/>
    <w:rsid w:val="01F11150"/>
    <w:rsid w:val="01FB04EB"/>
    <w:rsid w:val="02104E40"/>
    <w:rsid w:val="02185422"/>
    <w:rsid w:val="02227F32"/>
    <w:rsid w:val="0223369D"/>
    <w:rsid w:val="023572AA"/>
    <w:rsid w:val="02370A74"/>
    <w:rsid w:val="023E21A6"/>
    <w:rsid w:val="024A54F6"/>
    <w:rsid w:val="024B60C0"/>
    <w:rsid w:val="02530B64"/>
    <w:rsid w:val="02696A4A"/>
    <w:rsid w:val="02767B92"/>
    <w:rsid w:val="027A02CD"/>
    <w:rsid w:val="027F2F56"/>
    <w:rsid w:val="02802069"/>
    <w:rsid w:val="02811C50"/>
    <w:rsid w:val="02822952"/>
    <w:rsid w:val="028C5698"/>
    <w:rsid w:val="029153CE"/>
    <w:rsid w:val="029543A8"/>
    <w:rsid w:val="029C6C4C"/>
    <w:rsid w:val="02AE528F"/>
    <w:rsid w:val="02C7497D"/>
    <w:rsid w:val="02D4635F"/>
    <w:rsid w:val="02DB4092"/>
    <w:rsid w:val="02E745A4"/>
    <w:rsid w:val="02EB1D82"/>
    <w:rsid w:val="02EB5488"/>
    <w:rsid w:val="02F10FD5"/>
    <w:rsid w:val="030C33A8"/>
    <w:rsid w:val="0316224B"/>
    <w:rsid w:val="032B00B4"/>
    <w:rsid w:val="032B3A0E"/>
    <w:rsid w:val="03316B3C"/>
    <w:rsid w:val="03422379"/>
    <w:rsid w:val="034B4CE1"/>
    <w:rsid w:val="035B2B87"/>
    <w:rsid w:val="03610C48"/>
    <w:rsid w:val="03630D87"/>
    <w:rsid w:val="03717787"/>
    <w:rsid w:val="037310CC"/>
    <w:rsid w:val="03783980"/>
    <w:rsid w:val="038372E1"/>
    <w:rsid w:val="03856FE9"/>
    <w:rsid w:val="03885B72"/>
    <w:rsid w:val="03930D6F"/>
    <w:rsid w:val="03941B37"/>
    <w:rsid w:val="03AB09EC"/>
    <w:rsid w:val="03AC4ECB"/>
    <w:rsid w:val="03B361EB"/>
    <w:rsid w:val="03B406F8"/>
    <w:rsid w:val="03C1120E"/>
    <w:rsid w:val="03C52A65"/>
    <w:rsid w:val="03C87043"/>
    <w:rsid w:val="03D469D1"/>
    <w:rsid w:val="03DB267A"/>
    <w:rsid w:val="03E0652D"/>
    <w:rsid w:val="03F10434"/>
    <w:rsid w:val="04050331"/>
    <w:rsid w:val="040858EF"/>
    <w:rsid w:val="040B181D"/>
    <w:rsid w:val="040D5DB1"/>
    <w:rsid w:val="04372379"/>
    <w:rsid w:val="043F5114"/>
    <w:rsid w:val="04440A30"/>
    <w:rsid w:val="04495F6D"/>
    <w:rsid w:val="0450314B"/>
    <w:rsid w:val="045D1D96"/>
    <w:rsid w:val="045F3526"/>
    <w:rsid w:val="0460113B"/>
    <w:rsid w:val="046425EE"/>
    <w:rsid w:val="047B5B10"/>
    <w:rsid w:val="0485220D"/>
    <w:rsid w:val="04875F5A"/>
    <w:rsid w:val="048C52D9"/>
    <w:rsid w:val="04902111"/>
    <w:rsid w:val="04933551"/>
    <w:rsid w:val="049827DC"/>
    <w:rsid w:val="04A25279"/>
    <w:rsid w:val="04AF5EAE"/>
    <w:rsid w:val="04C4799B"/>
    <w:rsid w:val="04CC4230"/>
    <w:rsid w:val="04D6330D"/>
    <w:rsid w:val="04D74983"/>
    <w:rsid w:val="04DF723D"/>
    <w:rsid w:val="04ED4D8C"/>
    <w:rsid w:val="04F10E85"/>
    <w:rsid w:val="04F12828"/>
    <w:rsid w:val="04F319B6"/>
    <w:rsid w:val="04F93857"/>
    <w:rsid w:val="05141484"/>
    <w:rsid w:val="052F723E"/>
    <w:rsid w:val="053464B3"/>
    <w:rsid w:val="05394357"/>
    <w:rsid w:val="05396264"/>
    <w:rsid w:val="053A75BD"/>
    <w:rsid w:val="054A00C9"/>
    <w:rsid w:val="055252F0"/>
    <w:rsid w:val="05556A4A"/>
    <w:rsid w:val="056A5E6A"/>
    <w:rsid w:val="056C278E"/>
    <w:rsid w:val="056D3391"/>
    <w:rsid w:val="05705C9E"/>
    <w:rsid w:val="0584631F"/>
    <w:rsid w:val="05856FF3"/>
    <w:rsid w:val="059A1CFC"/>
    <w:rsid w:val="059B367B"/>
    <w:rsid w:val="059D487E"/>
    <w:rsid w:val="05A3796D"/>
    <w:rsid w:val="05AA2192"/>
    <w:rsid w:val="05BB3660"/>
    <w:rsid w:val="05C12198"/>
    <w:rsid w:val="05C334FA"/>
    <w:rsid w:val="05C80B80"/>
    <w:rsid w:val="05DB0F5C"/>
    <w:rsid w:val="05DE48B3"/>
    <w:rsid w:val="05E0751B"/>
    <w:rsid w:val="05F37C43"/>
    <w:rsid w:val="05F7405D"/>
    <w:rsid w:val="05F975F8"/>
    <w:rsid w:val="05FF5304"/>
    <w:rsid w:val="06016C1C"/>
    <w:rsid w:val="0603725B"/>
    <w:rsid w:val="06092193"/>
    <w:rsid w:val="060E1B99"/>
    <w:rsid w:val="06125BE9"/>
    <w:rsid w:val="062B25B3"/>
    <w:rsid w:val="064638FF"/>
    <w:rsid w:val="06503EDD"/>
    <w:rsid w:val="065C5050"/>
    <w:rsid w:val="066253AB"/>
    <w:rsid w:val="067E0EBC"/>
    <w:rsid w:val="067E34AD"/>
    <w:rsid w:val="0685363E"/>
    <w:rsid w:val="068B4806"/>
    <w:rsid w:val="06950F06"/>
    <w:rsid w:val="06A01657"/>
    <w:rsid w:val="06A80D9C"/>
    <w:rsid w:val="06A833D6"/>
    <w:rsid w:val="06B44B5F"/>
    <w:rsid w:val="06B778A2"/>
    <w:rsid w:val="06C270B5"/>
    <w:rsid w:val="06C872F3"/>
    <w:rsid w:val="06CA713B"/>
    <w:rsid w:val="06D335F8"/>
    <w:rsid w:val="06E42B38"/>
    <w:rsid w:val="06EE580B"/>
    <w:rsid w:val="06F47A4A"/>
    <w:rsid w:val="06F7318A"/>
    <w:rsid w:val="06F86F5E"/>
    <w:rsid w:val="06FD31BA"/>
    <w:rsid w:val="072C710F"/>
    <w:rsid w:val="07362EFC"/>
    <w:rsid w:val="07372CE0"/>
    <w:rsid w:val="073D4A68"/>
    <w:rsid w:val="07591F59"/>
    <w:rsid w:val="075D175A"/>
    <w:rsid w:val="075D4810"/>
    <w:rsid w:val="075E3FD0"/>
    <w:rsid w:val="07614445"/>
    <w:rsid w:val="07630435"/>
    <w:rsid w:val="077452BA"/>
    <w:rsid w:val="077877CF"/>
    <w:rsid w:val="078944CF"/>
    <w:rsid w:val="07A24C32"/>
    <w:rsid w:val="07B24E09"/>
    <w:rsid w:val="07C214E0"/>
    <w:rsid w:val="07E74E9B"/>
    <w:rsid w:val="07E850FA"/>
    <w:rsid w:val="07F77F3B"/>
    <w:rsid w:val="07FB3F51"/>
    <w:rsid w:val="07FB711D"/>
    <w:rsid w:val="08085A2B"/>
    <w:rsid w:val="0809618F"/>
    <w:rsid w:val="08176946"/>
    <w:rsid w:val="081E23F2"/>
    <w:rsid w:val="081F489A"/>
    <w:rsid w:val="082059E3"/>
    <w:rsid w:val="08342457"/>
    <w:rsid w:val="08363D6A"/>
    <w:rsid w:val="08491446"/>
    <w:rsid w:val="08531CA1"/>
    <w:rsid w:val="0861236B"/>
    <w:rsid w:val="08632B85"/>
    <w:rsid w:val="08686232"/>
    <w:rsid w:val="0875597A"/>
    <w:rsid w:val="08787B97"/>
    <w:rsid w:val="08792957"/>
    <w:rsid w:val="08983324"/>
    <w:rsid w:val="089A3ED7"/>
    <w:rsid w:val="089F4DC3"/>
    <w:rsid w:val="08A143C3"/>
    <w:rsid w:val="08AF0FC4"/>
    <w:rsid w:val="08B30A3C"/>
    <w:rsid w:val="08B97457"/>
    <w:rsid w:val="08C01B61"/>
    <w:rsid w:val="08C43F67"/>
    <w:rsid w:val="08C45A0C"/>
    <w:rsid w:val="08C72724"/>
    <w:rsid w:val="08D2694A"/>
    <w:rsid w:val="08E96EDF"/>
    <w:rsid w:val="08F41517"/>
    <w:rsid w:val="090536BD"/>
    <w:rsid w:val="09066929"/>
    <w:rsid w:val="09180D81"/>
    <w:rsid w:val="09192C94"/>
    <w:rsid w:val="091E6157"/>
    <w:rsid w:val="091F05CF"/>
    <w:rsid w:val="09227977"/>
    <w:rsid w:val="092D4445"/>
    <w:rsid w:val="093C1086"/>
    <w:rsid w:val="09427B32"/>
    <w:rsid w:val="09443AC8"/>
    <w:rsid w:val="09451EAA"/>
    <w:rsid w:val="094736A5"/>
    <w:rsid w:val="09596B31"/>
    <w:rsid w:val="096F5333"/>
    <w:rsid w:val="098113D3"/>
    <w:rsid w:val="0983182F"/>
    <w:rsid w:val="098501EF"/>
    <w:rsid w:val="09876665"/>
    <w:rsid w:val="09937924"/>
    <w:rsid w:val="09AB4534"/>
    <w:rsid w:val="09C56089"/>
    <w:rsid w:val="09D41776"/>
    <w:rsid w:val="09D83FD7"/>
    <w:rsid w:val="09F0394D"/>
    <w:rsid w:val="09FF6440"/>
    <w:rsid w:val="0A026787"/>
    <w:rsid w:val="0A0F7F03"/>
    <w:rsid w:val="0A232A84"/>
    <w:rsid w:val="0A4A3C0A"/>
    <w:rsid w:val="0A5D3163"/>
    <w:rsid w:val="0A5E7E10"/>
    <w:rsid w:val="0A78573A"/>
    <w:rsid w:val="0A87376B"/>
    <w:rsid w:val="0A8B35D1"/>
    <w:rsid w:val="0A8D7D9A"/>
    <w:rsid w:val="0A9F6C64"/>
    <w:rsid w:val="0AA07C87"/>
    <w:rsid w:val="0AB2140A"/>
    <w:rsid w:val="0AB63798"/>
    <w:rsid w:val="0ACC384F"/>
    <w:rsid w:val="0AD072A2"/>
    <w:rsid w:val="0AD400FF"/>
    <w:rsid w:val="0AD52AA5"/>
    <w:rsid w:val="0AE62BA5"/>
    <w:rsid w:val="0AE712B5"/>
    <w:rsid w:val="0AEF3BBD"/>
    <w:rsid w:val="0B067053"/>
    <w:rsid w:val="0B0B4099"/>
    <w:rsid w:val="0B0D656D"/>
    <w:rsid w:val="0B162042"/>
    <w:rsid w:val="0B201834"/>
    <w:rsid w:val="0B2965AA"/>
    <w:rsid w:val="0B2C4364"/>
    <w:rsid w:val="0B31066F"/>
    <w:rsid w:val="0B3643CE"/>
    <w:rsid w:val="0B4E7315"/>
    <w:rsid w:val="0B5F59A7"/>
    <w:rsid w:val="0B633A8B"/>
    <w:rsid w:val="0B690EE3"/>
    <w:rsid w:val="0B694142"/>
    <w:rsid w:val="0B69678C"/>
    <w:rsid w:val="0B6A3B46"/>
    <w:rsid w:val="0B711A48"/>
    <w:rsid w:val="0B784EE3"/>
    <w:rsid w:val="0B836106"/>
    <w:rsid w:val="0B861876"/>
    <w:rsid w:val="0B974B62"/>
    <w:rsid w:val="0BA04DE4"/>
    <w:rsid w:val="0BBD30E4"/>
    <w:rsid w:val="0BC42E20"/>
    <w:rsid w:val="0BD11E2A"/>
    <w:rsid w:val="0BD369C4"/>
    <w:rsid w:val="0BD74A56"/>
    <w:rsid w:val="0BDF1A9B"/>
    <w:rsid w:val="0BE048B8"/>
    <w:rsid w:val="0BE328CA"/>
    <w:rsid w:val="0BE667FA"/>
    <w:rsid w:val="0BEE2512"/>
    <w:rsid w:val="0BF33DBE"/>
    <w:rsid w:val="0BFB2AC2"/>
    <w:rsid w:val="0BFC710E"/>
    <w:rsid w:val="0BFC7FE7"/>
    <w:rsid w:val="0C045EF7"/>
    <w:rsid w:val="0C0701B3"/>
    <w:rsid w:val="0C0E0870"/>
    <w:rsid w:val="0C17768C"/>
    <w:rsid w:val="0C1E0960"/>
    <w:rsid w:val="0C270D27"/>
    <w:rsid w:val="0C2C5916"/>
    <w:rsid w:val="0C3C3983"/>
    <w:rsid w:val="0C3F5A94"/>
    <w:rsid w:val="0C4E17DC"/>
    <w:rsid w:val="0C515B3C"/>
    <w:rsid w:val="0C63636E"/>
    <w:rsid w:val="0C8238F5"/>
    <w:rsid w:val="0C863A0F"/>
    <w:rsid w:val="0C8C4AF6"/>
    <w:rsid w:val="0C9020AE"/>
    <w:rsid w:val="0CB03F52"/>
    <w:rsid w:val="0CC64069"/>
    <w:rsid w:val="0CCA7CE9"/>
    <w:rsid w:val="0CCB284F"/>
    <w:rsid w:val="0CD53056"/>
    <w:rsid w:val="0CD811B3"/>
    <w:rsid w:val="0CE31630"/>
    <w:rsid w:val="0CEB43FB"/>
    <w:rsid w:val="0D000D6D"/>
    <w:rsid w:val="0D051B33"/>
    <w:rsid w:val="0D2224F9"/>
    <w:rsid w:val="0D402CC7"/>
    <w:rsid w:val="0D435DE3"/>
    <w:rsid w:val="0D475D34"/>
    <w:rsid w:val="0D494A00"/>
    <w:rsid w:val="0D4F3FF5"/>
    <w:rsid w:val="0D673F02"/>
    <w:rsid w:val="0D7A4F50"/>
    <w:rsid w:val="0D841562"/>
    <w:rsid w:val="0D857C3A"/>
    <w:rsid w:val="0D877BB2"/>
    <w:rsid w:val="0D9E30A0"/>
    <w:rsid w:val="0DA34B36"/>
    <w:rsid w:val="0DA67905"/>
    <w:rsid w:val="0DAE3D66"/>
    <w:rsid w:val="0DAF00EF"/>
    <w:rsid w:val="0DBC2EC7"/>
    <w:rsid w:val="0DC60BC6"/>
    <w:rsid w:val="0DD353CB"/>
    <w:rsid w:val="0DDC30E6"/>
    <w:rsid w:val="0DDD145E"/>
    <w:rsid w:val="0DDE34CC"/>
    <w:rsid w:val="0DE46A43"/>
    <w:rsid w:val="0DEA60AB"/>
    <w:rsid w:val="0DED4509"/>
    <w:rsid w:val="0DEE5E80"/>
    <w:rsid w:val="0DF017A6"/>
    <w:rsid w:val="0DF06F84"/>
    <w:rsid w:val="0DF232AF"/>
    <w:rsid w:val="0DF35B9B"/>
    <w:rsid w:val="0E0F0EFA"/>
    <w:rsid w:val="0E120345"/>
    <w:rsid w:val="0E125035"/>
    <w:rsid w:val="0E2277CB"/>
    <w:rsid w:val="0E25294C"/>
    <w:rsid w:val="0E2E0C1A"/>
    <w:rsid w:val="0E2F7C00"/>
    <w:rsid w:val="0E4038D5"/>
    <w:rsid w:val="0E4D07D5"/>
    <w:rsid w:val="0E5450F6"/>
    <w:rsid w:val="0E5B3BF0"/>
    <w:rsid w:val="0E637909"/>
    <w:rsid w:val="0E706216"/>
    <w:rsid w:val="0E7C525B"/>
    <w:rsid w:val="0E7E60FE"/>
    <w:rsid w:val="0E880933"/>
    <w:rsid w:val="0E881D5C"/>
    <w:rsid w:val="0E8917B6"/>
    <w:rsid w:val="0E8A4645"/>
    <w:rsid w:val="0E8B108F"/>
    <w:rsid w:val="0E905C15"/>
    <w:rsid w:val="0E943186"/>
    <w:rsid w:val="0E964D7C"/>
    <w:rsid w:val="0EA00832"/>
    <w:rsid w:val="0EA127F1"/>
    <w:rsid w:val="0EB9744D"/>
    <w:rsid w:val="0EBC45EF"/>
    <w:rsid w:val="0EBF242D"/>
    <w:rsid w:val="0EC0127A"/>
    <w:rsid w:val="0EC04C2D"/>
    <w:rsid w:val="0EC816AB"/>
    <w:rsid w:val="0ECA0196"/>
    <w:rsid w:val="0ECB39D1"/>
    <w:rsid w:val="0ED068AD"/>
    <w:rsid w:val="0ED778BA"/>
    <w:rsid w:val="0EF936C5"/>
    <w:rsid w:val="0F0119D8"/>
    <w:rsid w:val="0F1538BD"/>
    <w:rsid w:val="0F2118D0"/>
    <w:rsid w:val="0F212FDF"/>
    <w:rsid w:val="0F271E00"/>
    <w:rsid w:val="0F2A1AE2"/>
    <w:rsid w:val="0F2D4E84"/>
    <w:rsid w:val="0F361AF3"/>
    <w:rsid w:val="0F41124E"/>
    <w:rsid w:val="0F46046F"/>
    <w:rsid w:val="0F483E48"/>
    <w:rsid w:val="0F5B1ECF"/>
    <w:rsid w:val="0F70451D"/>
    <w:rsid w:val="0F71139E"/>
    <w:rsid w:val="0F757504"/>
    <w:rsid w:val="0F765CDA"/>
    <w:rsid w:val="0F7B6B54"/>
    <w:rsid w:val="0F7F1151"/>
    <w:rsid w:val="0F862E98"/>
    <w:rsid w:val="0FA00A85"/>
    <w:rsid w:val="0FA03D02"/>
    <w:rsid w:val="0FA46077"/>
    <w:rsid w:val="0FB6395F"/>
    <w:rsid w:val="0FBB77D2"/>
    <w:rsid w:val="0FC00684"/>
    <w:rsid w:val="0FCD1D6A"/>
    <w:rsid w:val="0FD0534A"/>
    <w:rsid w:val="0FE05631"/>
    <w:rsid w:val="0FE41084"/>
    <w:rsid w:val="0FE56AF6"/>
    <w:rsid w:val="0FE805C6"/>
    <w:rsid w:val="0FF371E5"/>
    <w:rsid w:val="0FF56194"/>
    <w:rsid w:val="100872A4"/>
    <w:rsid w:val="1010532D"/>
    <w:rsid w:val="10135715"/>
    <w:rsid w:val="101C492A"/>
    <w:rsid w:val="102C3F31"/>
    <w:rsid w:val="102C638C"/>
    <w:rsid w:val="102F4635"/>
    <w:rsid w:val="10360209"/>
    <w:rsid w:val="103E0EDE"/>
    <w:rsid w:val="103E5ED8"/>
    <w:rsid w:val="10424EDA"/>
    <w:rsid w:val="1049663B"/>
    <w:rsid w:val="104E3B20"/>
    <w:rsid w:val="10506200"/>
    <w:rsid w:val="10585332"/>
    <w:rsid w:val="105C116E"/>
    <w:rsid w:val="10663F83"/>
    <w:rsid w:val="10762190"/>
    <w:rsid w:val="107D7F1B"/>
    <w:rsid w:val="10801D2B"/>
    <w:rsid w:val="108049DA"/>
    <w:rsid w:val="108239CC"/>
    <w:rsid w:val="108953E6"/>
    <w:rsid w:val="109669EA"/>
    <w:rsid w:val="109B3F9B"/>
    <w:rsid w:val="109C6E7D"/>
    <w:rsid w:val="109F0FFA"/>
    <w:rsid w:val="10B14BA6"/>
    <w:rsid w:val="10B52A82"/>
    <w:rsid w:val="10BF6E52"/>
    <w:rsid w:val="10C92533"/>
    <w:rsid w:val="10CA1840"/>
    <w:rsid w:val="10CD53F0"/>
    <w:rsid w:val="10CE4270"/>
    <w:rsid w:val="10E14FB0"/>
    <w:rsid w:val="11003E85"/>
    <w:rsid w:val="110F326B"/>
    <w:rsid w:val="111D7E14"/>
    <w:rsid w:val="11325410"/>
    <w:rsid w:val="113F277F"/>
    <w:rsid w:val="11463A7A"/>
    <w:rsid w:val="11532B7F"/>
    <w:rsid w:val="1159025B"/>
    <w:rsid w:val="11672856"/>
    <w:rsid w:val="11744F2B"/>
    <w:rsid w:val="117F43E0"/>
    <w:rsid w:val="118179DA"/>
    <w:rsid w:val="1190799A"/>
    <w:rsid w:val="119B57A1"/>
    <w:rsid w:val="11B72DAD"/>
    <w:rsid w:val="11BB125C"/>
    <w:rsid w:val="11C13B26"/>
    <w:rsid w:val="11C20196"/>
    <w:rsid w:val="11CA186C"/>
    <w:rsid w:val="11CC1613"/>
    <w:rsid w:val="11D27E95"/>
    <w:rsid w:val="11DD461F"/>
    <w:rsid w:val="11E33617"/>
    <w:rsid w:val="11E50954"/>
    <w:rsid w:val="11E64021"/>
    <w:rsid w:val="120355DF"/>
    <w:rsid w:val="120623AA"/>
    <w:rsid w:val="12087BCF"/>
    <w:rsid w:val="12090538"/>
    <w:rsid w:val="120D17A3"/>
    <w:rsid w:val="121413EE"/>
    <w:rsid w:val="12170C15"/>
    <w:rsid w:val="123D1226"/>
    <w:rsid w:val="12451CF4"/>
    <w:rsid w:val="124A47E3"/>
    <w:rsid w:val="124B1599"/>
    <w:rsid w:val="126613E9"/>
    <w:rsid w:val="12666A46"/>
    <w:rsid w:val="12865631"/>
    <w:rsid w:val="128D5A4C"/>
    <w:rsid w:val="12945580"/>
    <w:rsid w:val="12A464D5"/>
    <w:rsid w:val="12A5408E"/>
    <w:rsid w:val="12B62C62"/>
    <w:rsid w:val="12BD7F4B"/>
    <w:rsid w:val="12C422AB"/>
    <w:rsid w:val="12D510D5"/>
    <w:rsid w:val="12DA0CB2"/>
    <w:rsid w:val="12DD1CFF"/>
    <w:rsid w:val="12E7730B"/>
    <w:rsid w:val="12F26485"/>
    <w:rsid w:val="12F73C48"/>
    <w:rsid w:val="12F900E5"/>
    <w:rsid w:val="12FB3F33"/>
    <w:rsid w:val="13046A8F"/>
    <w:rsid w:val="130C045D"/>
    <w:rsid w:val="13176C5B"/>
    <w:rsid w:val="13176FDC"/>
    <w:rsid w:val="131B672B"/>
    <w:rsid w:val="131D3FED"/>
    <w:rsid w:val="13263F4B"/>
    <w:rsid w:val="132744F9"/>
    <w:rsid w:val="132B028B"/>
    <w:rsid w:val="135066C3"/>
    <w:rsid w:val="13541C64"/>
    <w:rsid w:val="135C1FC0"/>
    <w:rsid w:val="13631E88"/>
    <w:rsid w:val="136E00F7"/>
    <w:rsid w:val="137959D2"/>
    <w:rsid w:val="1389413E"/>
    <w:rsid w:val="138A48F9"/>
    <w:rsid w:val="138E0DB2"/>
    <w:rsid w:val="13B23C47"/>
    <w:rsid w:val="13BC2E0C"/>
    <w:rsid w:val="13CD64A6"/>
    <w:rsid w:val="13D41328"/>
    <w:rsid w:val="13DB57DE"/>
    <w:rsid w:val="13ED3796"/>
    <w:rsid w:val="13EE3A48"/>
    <w:rsid w:val="13EF6C5A"/>
    <w:rsid w:val="13F26EEF"/>
    <w:rsid w:val="140507E9"/>
    <w:rsid w:val="14170E9C"/>
    <w:rsid w:val="14192869"/>
    <w:rsid w:val="141B6FAE"/>
    <w:rsid w:val="14232C2E"/>
    <w:rsid w:val="142904FC"/>
    <w:rsid w:val="143408E4"/>
    <w:rsid w:val="144025E2"/>
    <w:rsid w:val="1459412F"/>
    <w:rsid w:val="145A74AE"/>
    <w:rsid w:val="14632545"/>
    <w:rsid w:val="146C7223"/>
    <w:rsid w:val="146C7D4F"/>
    <w:rsid w:val="14766494"/>
    <w:rsid w:val="14954BB7"/>
    <w:rsid w:val="149E4CD4"/>
    <w:rsid w:val="14A23A04"/>
    <w:rsid w:val="14A55B9D"/>
    <w:rsid w:val="14A63F6D"/>
    <w:rsid w:val="14B12B82"/>
    <w:rsid w:val="14B77582"/>
    <w:rsid w:val="14BD1496"/>
    <w:rsid w:val="14C60897"/>
    <w:rsid w:val="14C73686"/>
    <w:rsid w:val="14CA542F"/>
    <w:rsid w:val="14D0307E"/>
    <w:rsid w:val="14D907B9"/>
    <w:rsid w:val="14E40C32"/>
    <w:rsid w:val="14F2059D"/>
    <w:rsid w:val="150040A6"/>
    <w:rsid w:val="1503166D"/>
    <w:rsid w:val="150D7FCA"/>
    <w:rsid w:val="15121D0E"/>
    <w:rsid w:val="15211DA6"/>
    <w:rsid w:val="1523615F"/>
    <w:rsid w:val="15262782"/>
    <w:rsid w:val="15277504"/>
    <w:rsid w:val="152D6299"/>
    <w:rsid w:val="1536195E"/>
    <w:rsid w:val="15442A28"/>
    <w:rsid w:val="155E0542"/>
    <w:rsid w:val="15640F4A"/>
    <w:rsid w:val="1565704A"/>
    <w:rsid w:val="15657D89"/>
    <w:rsid w:val="15745E94"/>
    <w:rsid w:val="157D4738"/>
    <w:rsid w:val="157E3B2B"/>
    <w:rsid w:val="15913BFF"/>
    <w:rsid w:val="15992BEB"/>
    <w:rsid w:val="159B3BBC"/>
    <w:rsid w:val="15B160FE"/>
    <w:rsid w:val="15B96DE3"/>
    <w:rsid w:val="15C004CF"/>
    <w:rsid w:val="15C36849"/>
    <w:rsid w:val="15D30F40"/>
    <w:rsid w:val="15D554DA"/>
    <w:rsid w:val="15D62207"/>
    <w:rsid w:val="15DA10F2"/>
    <w:rsid w:val="15DC292A"/>
    <w:rsid w:val="15E020DC"/>
    <w:rsid w:val="15E04CA5"/>
    <w:rsid w:val="15E56F16"/>
    <w:rsid w:val="15FC7728"/>
    <w:rsid w:val="16016122"/>
    <w:rsid w:val="160453B5"/>
    <w:rsid w:val="160573F6"/>
    <w:rsid w:val="160725E6"/>
    <w:rsid w:val="160B5609"/>
    <w:rsid w:val="160B75FE"/>
    <w:rsid w:val="160E0D0F"/>
    <w:rsid w:val="16171F13"/>
    <w:rsid w:val="1620368D"/>
    <w:rsid w:val="16256A18"/>
    <w:rsid w:val="162A0A98"/>
    <w:rsid w:val="16301623"/>
    <w:rsid w:val="163360DA"/>
    <w:rsid w:val="16406E52"/>
    <w:rsid w:val="16542D6D"/>
    <w:rsid w:val="165740D5"/>
    <w:rsid w:val="165C3664"/>
    <w:rsid w:val="16663DB9"/>
    <w:rsid w:val="167D034B"/>
    <w:rsid w:val="1682560D"/>
    <w:rsid w:val="1683568D"/>
    <w:rsid w:val="1685405E"/>
    <w:rsid w:val="168801D3"/>
    <w:rsid w:val="169F16A6"/>
    <w:rsid w:val="16A11EDF"/>
    <w:rsid w:val="16AE3FD8"/>
    <w:rsid w:val="16B30CDF"/>
    <w:rsid w:val="16C11EA2"/>
    <w:rsid w:val="16C51CC7"/>
    <w:rsid w:val="16C8282D"/>
    <w:rsid w:val="16F37A6A"/>
    <w:rsid w:val="16F41A35"/>
    <w:rsid w:val="16FD4035"/>
    <w:rsid w:val="17112BC7"/>
    <w:rsid w:val="171B1A4B"/>
    <w:rsid w:val="171B418A"/>
    <w:rsid w:val="17315AA4"/>
    <w:rsid w:val="173249A2"/>
    <w:rsid w:val="173961A4"/>
    <w:rsid w:val="173B5D28"/>
    <w:rsid w:val="173C0D11"/>
    <w:rsid w:val="17451C21"/>
    <w:rsid w:val="174A5489"/>
    <w:rsid w:val="17606E7A"/>
    <w:rsid w:val="1765079C"/>
    <w:rsid w:val="176A6F7C"/>
    <w:rsid w:val="1771229B"/>
    <w:rsid w:val="17755E42"/>
    <w:rsid w:val="17765614"/>
    <w:rsid w:val="17782CF3"/>
    <w:rsid w:val="17852E18"/>
    <w:rsid w:val="178921C3"/>
    <w:rsid w:val="17901A33"/>
    <w:rsid w:val="17A63036"/>
    <w:rsid w:val="17B005F5"/>
    <w:rsid w:val="17B357C4"/>
    <w:rsid w:val="17B46B4A"/>
    <w:rsid w:val="17B708FE"/>
    <w:rsid w:val="17C201A2"/>
    <w:rsid w:val="17C256B6"/>
    <w:rsid w:val="17D51553"/>
    <w:rsid w:val="17D74149"/>
    <w:rsid w:val="17E71C6F"/>
    <w:rsid w:val="17E71FFD"/>
    <w:rsid w:val="17EF69B5"/>
    <w:rsid w:val="17F372E7"/>
    <w:rsid w:val="18046C97"/>
    <w:rsid w:val="180C70B9"/>
    <w:rsid w:val="18184E41"/>
    <w:rsid w:val="18186149"/>
    <w:rsid w:val="181C2344"/>
    <w:rsid w:val="182561C2"/>
    <w:rsid w:val="18283020"/>
    <w:rsid w:val="18337762"/>
    <w:rsid w:val="18346D83"/>
    <w:rsid w:val="18351DDC"/>
    <w:rsid w:val="183B7ABA"/>
    <w:rsid w:val="184D13AA"/>
    <w:rsid w:val="186C69E2"/>
    <w:rsid w:val="18797804"/>
    <w:rsid w:val="18830B46"/>
    <w:rsid w:val="1883705A"/>
    <w:rsid w:val="188C7871"/>
    <w:rsid w:val="189E4150"/>
    <w:rsid w:val="18A377EA"/>
    <w:rsid w:val="18A60874"/>
    <w:rsid w:val="18BC70FF"/>
    <w:rsid w:val="18CA1C08"/>
    <w:rsid w:val="18D455C7"/>
    <w:rsid w:val="18D65A88"/>
    <w:rsid w:val="18E6496C"/>
    <w:rsid w:val="18E86FD6"/>
    <w:rsid w:val="18F02FC3"/>
    <w:rsid w:val="18F15303"/>
    <w:rsid w:val="190134FE"/>
    <w:rsid w:val="19021B7A"/>
    <w:rsid w:val="19051408"/>
    <w:rsid w:val="190C1A76"/>
    <w:rsid w:val="1914139E"/>
    <w:rsid w:val="191B76C6"/>
    <w:rsid w:val="19221189"/>
    <w:rsid w:val="19246F5B"/>
    <w:rsid w:val="192B4276"/>
    <w:rsid w:val="19315993"/>
    <w:rsid w:val="1933449A"/>
    <w:rsid w:val="193363D0"/>
    <w:rsid w:val="19382FE4"/>
    <w:rsid w:val="19437C42"/>
    <w:rsid w:val="19534740"/>
    <w:rsid w:val="1958570F"/>
    <w:rsid w:val="195A093D"/>
    <w:rsid w:val="195D7946"/>
    <w:rsid w:val="195E1971"/>
    <w:rsid w:val="19687FCC"/>
    <w:rsid w:val="196A2E0E"/>
    <w:rsid w:val="19781054"/>
    <w:rsid w:val="1981356C"/>
    <w:rsid w:val="198421CF"/>
    <w:rsid w:val="19850C7A"/>
    <w:rsid w:val="19A41FA3"/>
    <w:rsid w:val="19A90B8D"/>
    <w:rsid w:val="19B039E5"/>
    <w:rsid w:val="19B274F3"/>
    <w:rsid w:val="19B73E84"/>
    <w:rsid w:val="19BB4B07"/>
    <w:rsid w:val="19BD515A"/>
    <w:rsid w:val="19C74349"/>
    <w:rsid w:val="19CD3FE6"/>
    <w:rsid w:val="19DA58D2"/>
    <w:rsid w:val="19E15687"/>
    <w:rsid w:val="19E26A0E"/>
    <w:rsid w:val="19EC2802"/>
    <w:rsid w:val="19F430A6"/>
    <w:rsid w:val="19F97DFD"/>
    <w:rsid w:val="19FB01A9"/>
    <w:rsid w:val="19FF09FE"/>
    <w:rsid w:val="1A080316"/>
    <w:rsid w:val="1A105795"/>
    <w:rsid w:val="1A13513F"/>
    <w:rsid w:val="1A2F3E20"/>
    <w:rsid w:val="1A3603D7"/>
    <w:rsid w:val="1A465DFA"/>
    <w:rsid w:val="1A553AF0"/>
    <w:rsid w:val="1A59596F"/>
    <w:rsid w:val="1A6315A8"/>
    <w:rsid w:val="1A63700A"/>
    <w:rsid w:val="1A666EF9"/>
    <w:rsid w:val="1A6E5F85"/>
    <w:rsid w:val="1A793698"/>
    <w:rsid w:val="1A9418C4"/>
    <w:rsid w:val="1AA27C10"/>
    <w:rsid w:val="1AAB47F3"/>
    <w:rsid w:val="1ACC4A5A"/>
    <w:rsid w:val="1ADC042D"/>
    <w:rsid w:val="1AFC1451"/>
    <w:rsid w:val="1B0A6A06"/>
    <w:rsid w:val="1B0F3471"/>
    <w:rsid w:val="1B1219C5"/>
    <w:rsid w:val="1B18567B"/>
    <w:rsid w:val="1B223CC2"/>
    <w:rsid w:val="1B2331AE"/>
    <w:rsid w:val="1B30786C"/>
    <w:rsid w:val="1B4425FE"/>
    <w:rsid w:val="1B5C5A42"/>
    <w:rsid w:val="1B711BB3"/>
    <w:rsid w:val="1B775075"/>
    <w:rsid w:val="1B7C77EF"/>
    <w:rsid w:val="1B9168E6"/>
    <w:rsid w:val="1B995C5B"/>
    <w:rsid w:val="1BB6762C"/>
    <w:rsid w:val="1BC47DD2"/>
    <w:rsid w:val="1BC972C0"/>
    <w:rsid w:val="1BCF609F"/>
    <w:rsid w:val="1BD90516"/>
    <w:rsid w:val="1BE933E9"/>
    <w:rsid w:val="1BF3045D"/>
    <w:rsid w:val="1BF82371"/>
    <w:rsid w:val="1BFD6F15"/>
    <w:rsid w:val="1BFF1B15"/>
    <w:rsid w:val="1C001F3E"/>
    <w:rsid w:val="1C1F1E86"/>
    <w:rsid w:val="1C20490B"/>
    <w:rsid w:val="1C3271B2"/>
    <w:rsid w:val="1C3546E9"/>
    <w:rsid w:val="1C403D9E"/>
    <w:rsid w:val="1C4079AA"/>
    <w:rsid w:val="1C5659DE"/>
    <w:rsid w:val="1C5D5D7F"/>
    <w:rsid w:val="1C5E4794"/>
    <w:rsid w:val="1C625E29"/>
    <w:rsid w:val="1C68785E"/>
    <w:rsid w:val="1C6B4666"/>
    <w:rsid w:val="1C6C6D5D"/>
    <w:rsid w:val="1C6E4BB9"/>
    <w:rsid w:val="1C825F8A"/>
    <w:rsid w:val="1C8D59F5"/>
    <w:rsid w:val="1C8E3BD7"/>
    <w:rsid w:val="1C8F39ED"/>
    <w:rsid w:val="1CA3126C"/>
    <w:rsid w:val="1CBF2A05"/>
    <w:rsid w:val="1CD216DC"/>
    <w:rsid w:val="1CD278D4"/>
    <w:rsid w:val="1CDE195E"/>
    <w:rsid w:val="1CDF4A11"/>
    <w:rsid w:val="1D0516E1"/>
    <w:rsid w:val="1D0F038C"/>
    <w:rsid w:val="1D392D75"/>
    <w:rsid w:val="1D4A7289"/>
    <w:rsid w:val="1D4C0F48"/>
    <w:rsid w:val="1D4F4BAA"/>
    <w:rsid w:val="1D526C2C"/>
    <w:rsid w:val="1D531A04"/>
    <w:rsid w:val="1D577D2E"/>
    <w:rsid w:val="1D5D3384"/>
    <w:rsid w:val="1D621455"/>
    <w:rsid w:val="1D70196F"/>
    <w:rsid w:val="1D791BDB"/>
    <w:rsid w:val="1D92745B"/>
    <w:rsid w:val="1D927D66"/>
    <w:rsid w:val="1DA64FC2"/>
    <w:rsid w:val="1DB91EB7"/>
    <w:rsid w:val="1DBF2F11"/>
    <w:rsid w:val="1DD57C35"/>
    <w:rsid w:val="1DE03781"/>
    <w:rsid w:val="1DE51545"/>
    <w:rsid w:val="1DED6D0F"/>
    <w:rsid w:val="1DF742D2"/>
    <w:rsid w:val="1DFC3761"/>
    <w:rsid w:val="1E0167E0"/>
    <w:rsid w:val="1E0228C9"/>
    <w:rsid w:val="1E03367C"/>
    <w:rsid w:val="1E0741D4"/>
    <w:rsid w:val="1E0D3740"/>
    <w:rsid w:val="1E0F0D17"/>
    <w:rsid w:val="1E156139"/>
    <w:rsid w:val="1E160ADD"/>
    <w:rsid w:val="1E195143"/>
    <w:rsid w:val="1E1964DD"/>
    <w:rsid w:val="1E2540A7"/>
    <w:rsid w:val="1E263AB2"/>
    <w:rsid w:val="1E316E1F"/>
    <w:rsid w:val="1E5938A0"/>
    <w:rsid w:val="1E64201D"/>
    <w:rsid w:val="1E654226"/>
    <w:rsid w:val="1E6F617E"/>
    <w:rsid w:val="1E715423"/>
    <w:rsid w:val="1E754444"/>
    <w:rsid w:val="1E791917"/>
    <w:rsid w:val="1E7C0CA5"/>
    <w:rsid w:val="1E7E12E4"/>
    <w:rsid w:val="1E8D4F6D"/>
    <w:rsid w:val="1E904199"/>
    <w:rsid w:val="1E914FAD"/>
    <w:rsid w:val="1E987B2F"/>
    <w:rsid w:val="1EA22302"/>
    <w:rsid w:val="1EB44D55"/>
    <w:rsid w:val="1EB5144F"/>
    <w:rsid w:val="1EB677A2"/>
    <w:rsid w:val="1EB90471"/>
    <w:rsid w:val="1EC109D3"/>
    <w:rsid w:val="1ED868EC"/>
    <w:rsid w:val="1EDE7C64"/>
    <w:rsid w:val="1EDF295B"/>
    <w:rsid w:val="1EE30827"/>
    <w:rsid w:val="1EEF08C6"/>
    <w:rsid w:val="1F0013CE"/>
    <w:rsid w:val="1F006643"/>
    <w:rsid w:val="1F076DE7"/>
    <w:rsid w:val="1F081E97"/>
    <w:rsid w:val="1F0D776D"/>
    <w:rsid w:val="1F12548B"/>
    <w:rsid w:val="1F1A109C"/>
    <w:rsid w:val="1F221BEE"/>
    <w:rsid w:val="1F233145"/>
    <w:rsid w:val="1F2812D2"/>
    <w:rsid w:val="1F2D6017"/>
    <w:rsid w:val="1F364DB6"/>
    <w:rsid w:val="1F4C7497"/>
    <w:rsid w:val="1F4D244B"/>
    <w:rsid w:val="1F5349F1"/>
    <w:rsid w:val="1F5D5AF6"/>
    <w:rsid w:val="1F6238E1"/>
    <w:rsid w:val="1F641670"/>
    <w:rsid w:val="1F646768"/>
    <w:rsid w:val="1F766E54"/>
    <w:rsid w:val="1F7D1BBC"/>
    <w:rsid w:val="1F7E4D96"/>
    <w:rsid w:val="1F820773"/>
    <w:rsid w:val="1F826723"/>
    <w:rsid w:val="1F9555B6"/>
    <w:rsid w:val="1FA425F3"/>
    <w:rsid w:val="1FA51437"/>
    <w:rsid w:val="1FAB4AFC"/>
    <w:rsid w:val="1FC35DD8"/>
    <w:rsid w:val="1FC4026A"/>
    <w:rsid w:val="1FC4784B"/>
    <w:rsid w:val="1FCF1E36"/>
    <w:rsid w:val="1FDD2648"/>
    <w:rsid w:val="1FEC1933"/>
    <w:rsid w:val="1FF52CDD"/>
    <w:rsid w:val="1FFB4C5A"/>
    <w:rsid w:val="1FFC3FAC"/>
    <w:rsid w:val="1FFE44A5"/>
    <w:rsid w:val="201737F8"/>
    <w:rsid w:val="201804B9"/>
    <w:rsid w:val="2019279F"/>
    <w:rsid w:val="20322F9A"/>
    <w:rsid w:val="203D1CF7"/>
    <w:rsid w:val="204F2335"/>
    <w:rsid w:val="20592B28"/>
    <w:rsid w:val="20593B9C"/>
    <w:rsid w:val="205D76E5"/>
    <w:rsid w:val="206440DF"/>
    <w:rsid w:val="2074722D"/>
    <w:rsid w:val="20783911"/>
    <w:rsid w:val="207A6BA3"/>
    <w:rsid w:val="208671FD"/>
    <w:rsid w:val="20950E00"/>
    <w:rsid w:val="209537EE"/>
    <w:rsid w:val="209B7088"/>
    <w:rsid w:val="20B107D5"/>
    <w:rsid w:val="20B6045B"/>
    <w:rsid w:val="20BC532D"/>
    <w:rsid w:val="20C112B1"/>
    <w:rsid w:val="20C64689"/>
    <w:rsid w:val="20C80C9A"/>
    <w:rsid w:val="20CA3197"/>
    <w:rsid w:val="20CA7F99"/>
    <w:rsid w:val="20DB1961"/>
    <w:rsid w:val="20DC69A7"/>
    <w:rsid w:val="20DE247B"/>
    <w:rsid w:val="20E445F2"/>
    <w:rsid w:val="20FF73BB"/>
    <w:rsid w:val="2101234C"/>
    <w:rsid w:val="210A52E4"/>
    <w:rsid w:val="210C6858"/>
    <w:rsid w:val="211A0D5B"/>
    <w:rsid w:val="212474DB"/>
    <w:rsid w:val="212843C7"/>
    <w:rsid w:val="212E0A6D"/>
    <w:rsid w:val="21360471"/>
    <w:rsid w:val="213E3291"/>
    <w:rsid w:val="214836F6"/>
    <w:rsid w:val="21483983"/>
    <w:rsid w:val="21484295"/>
    <w:rsid w:val="21545692"/>
    <w:rsid w:val="2158301B"/>
    <w:rsid w:val="21620CDF"/>
    <w:rsid w:val="21621621"/>
    <w:rsid w:val="2164125E"/>
    <w:rsid w:val="21675C1D"/>
    <w:rsid w:val="216C5789"/>
    <w:rsid w:val="21730376"/>
    <w:rsid w:val="219178FC"/>
    <w:rsid w:val="21996556"/>
    <w:rsid w:val="21A12149"/>
    <w:rsid w:val="21A87888"/>
    <w:rsid w:val="21AF62F6"/>
    <w:rsid w:val="21B15B40"/>
    <w:rsid w:val="21BC4049"/>
    <w:rsid w:val="21BD0163"/>
    <w:rsid w:val="21C14631"/>
    <w:rsid w:val="21C66507"/>
    <w:rsid w:val="21C74900"/>
    <w:rsid w:val="21CD2758"/>
    <w:rsid w:val="21DC0D9D"/>
    <w:rsid w:val="21DC6E58"/>
    <w:rsid w:val="21F050E2"/>
    <w:rsid w:val="21F05E9E"/>
    <w:rsid w:val="21F52354"/>
    <w:rsid w:val="21F53786"/>
    <w:rsid w:val="21F92EE4"/>
    <w:rsid w:val="21FC62FB"/>
    <w:rsid w:val="220E17FB"/>
    <w:rsid w:val="22107F79"/>
    <w:rsid w:val="22292AE9"/>
    <w:rsid w:val="22294C15"/>
    <w:rsid w:val="222A260B"/>
    <w:rsid w:val="222D068F"/>
    <w:rsid w:val="222D6E3E"/>
    <w:rsid w:val="223A482E"/>
    <w:rsid w:val="223C1F78"/>
    <w:rsid w:val="22431F90"/>
    <w:rsid w:val="22476016"/>
    <w:rsid w:val="22476E0B"/>
    <w:rsid w:val="224A001D"/>
    <w:rsid w:val="225D2EF1"/>
    <w:rsid w:val="22655DE7"/>
    <w:rsid w:val="22742A27"/>
    <w:rsid w:val="22794142"/>
    <w:rsid w:val="22816A88"/>
    <w:rsid w:val="22830BEC"/>
    <w:rsid w:val="228647EE"/>
    <w:rsid w:val="22873491"/>
    <w:rsid w:val="22877591"/>
    <w:rsid w:val="228820FE"/>
    <w:rsid w:val="229317BB"/>
    <w:rsid w:val="22973B4F"/>
    <w:rsid w:val="229B2296"/>
    <w:rsid w:val="22AB7F87"/>
    <w:rsid w:val="22AF4D3A"/>
    <w:rsid w:val="22C8422D"/>
    <w:rsid w:val="22C93193"/>
    <w:rsid w:val="22D5626F"/>
    <w:rsid w:val="22E13528"/>
    <w:rsid w:val="22E93745"/>
    <w:rsid w:val="22EE1096"/>
    <w:rsid w:val="22EF1551"/>
    <w:rsid w:val="22F041F8"/>
    <w:rsid w:val="22F0570E"/>
    <w:rsid w:val="22F44BA1"/>
    <w:rsid w:val="22FD6290"/>
    <w:rsid w:val="23025F4B"/>
    <w:rsid w:val="230A237E"/>
    <w:rsid w:val="2314776E"/>
    <w:rsid w:val="2335171C"/>
    <w:rsid w:val="23381379"/>
    <w:rsid w:val="23412DDE"/>
    <w:rsid w:val="23436685"/>
    <w:rsid w:val="234438A0"/>
    <w:rsid w:val="234C00A8"/>
    <w:rsid w:val="23511D60"/>
    <w:rsid w:val="2351701D"/>
    <w:rsid w:val="235A5446"/>
    <w:rsid w:val="23697786"/>
    <w:rsid w:val="236D61F3"/>
    <w:rsid w:val="236F247C"/>
    <w:rsid w:val="23741B23"/>
    <w:rsid w:val="23786774"/>
    <w:rsid w:val="23797A1B"/>
    <w:rsid w:val="237E0A3B"/>
    <w:rsid w:val="2381522D"/>
    <w:rsid w:val="238E6641"/>
    <w:rsid w:val="23A73B10"/>
    <w:rsid w:val="23B13D7C"/>
    <w:rsid w:val="23B70C77"/>
    <w:rsid w:val="23C063AD"/>
    <w:rsid w:val="23D505A9"/>
    <w:rsid w:val="23DF51AB"/>
    <w:rsid w:val="23F2204E"/>
    <w:rsid w:val="23F54AC9"/>
    <w:rsid w:val="23F848BB"/>
    <w:rsid w:val="24054BD5"/>
    <w:rsid w:val="240A1BB0"/>
    <w:rsid w:val="241A43B0"/>
    <w:rsid w:val="241D5586"/>
    <w:rsid w:val="24246CCD"/>
    <w:rsid w:val="243B27B6"/>
    <w:rsid w:val="243D5C2B"/>
    <w:rsid w:val="24466EDB"/>
    <w:rsid w:val="24514B39"/>
    <w:rsid w:val="24515797"/>
    <w:rsid w:val="2451676F"/>
    <w:rsid w:val="24524E8A"/>
    <w:rsid w:val="24673462"/>
    <w:rsid w:val="24675955"/>
    <w:rsid w:val="246D208B"/>
    <w:rsid w:val="24776BBA"/>
    <w:rsid w:val="24785646"/>
    <w:rsid w:val="24787ADA"/>
    <w:rsid w:val="248028A1"/>
    <w:rsid w:val="24841DD0"/>
    <w:rsid w:val="24936B36"/>
    <w:rsid w:val="249A6FF3"/>
    <w:rsid w:val="24A26D90"/>
    <w:rsid w:val="24A47F8C"/>
    <w:rsid w:val="24AB4876"/>
    <w:rsid w:val="24B06EE5"/>
    <w:rsid w:val="24BF4EEA"/>
    <w:rsid w:val="24D457F9"/>
    <w:rsid w:val="24E038B7"/>
    <w:rsid w:val="24E45FB4"/>
    <w:rsid w:val="24E92114"/>
    <w:rsid w:val="24F85EA0"/>
    <w:rsid w:val="25025C48"/>
    <w:rsid w:val="250710D3"/>
    <w:rsid w:val="251D6F73"/>
    <w:rsid w:val="252457C9"/>
    <w:rsid w:val="25331E0C"/>
    <w:rsid w:val="253C5E4E"/>
    <w:rsid w:val="253E20DF"/>
    <w:rsid w:val="25403516"/>
    <w:rsid w:val="25404627"/>
    <w:rsid w:val="25414119"/>
    <w:rsid w:val="2542028B"/>
    <w:rsid w:val="25456322"/>
    <w:rsid w:val="254F64F0"/>
    <w:rsid w:val="25674672"/>
    <w:rsid w:val="2575220D"/>
    <w:rsid w:val="257A108C"/>
    <w:rsid w:val="25946F0E"/>
    <w:rsid w:val="259A64A3"/>
    <w:rsid w:val="25A24847"/>
    <w:rsid w:val="25AD6D3E"/>
    <w:rsid w:val="25C1006B"/>
    <w:rsid w:val="25C22195"/>
    <w:rsid w:val="25C84CB1"/>
    <w:rsid w:val="25D2507E"/>
    <w:rsid w:val="25E03311"/>
    <w:rsid w:val="25E7739E"/>
    <w:rsid w:val="25EB4445"/>
    <w:rsid w:val="25F27BD4"/>
    <w:rsid w:val="26021F02"/>
    <w:rsid w:val="261D4609"/>
    <w:rsid w:val="26233EDC"/>
    <w:rsid w:val="26235823"/>
    <w:rsid w:val="26307A04"/>
    <w:rsid w:val="264051E9"/>
    <w:rsid w:val="26450116"/>
    <w:rsid w:val="264D1A33"/>
    <w:rsid w:val="26512FF4"/>
    <w:rsid w:val="26710CE8"/>
    <w:rsid w:val="26896F5A"/>
    <w:rsid w:val="269A1D8A"/>
    <w:rsid w:val="26AD5D00"/>
    <w:rsid w:val="26C039B6"/>
    <w:rsid w:val="26DB0AB2"/>
    <w:rsid w:val="26EC4808"/>
    <w:rsid w:val="26FD42C6"/>
    <w:rsid w:val="27036D89"/>
    <w:rsid w:val="271B407C"/>
    <w:rsid w:val="272E4CB3"/>
    <w:rsid w:val="2731199B"/>
    <w:rsid w:val="274719E5"/>
    <w:rsid w:val="274C0B76"/>
    <w:rsid w:val="27520E68"/>
    <w:rsid w:val="276035E5"/>
    <w:rsid w:val="27652F0A"/>
    <w:rsid w:val="276A1229"/>
    <w:rsid w:val="27785213"/>
    <w:rsid w:val="277E07E7"/>
    <w:rsid w:val="27834A1F"/>
    <w:rsid w:val="27930309"/>
    <w:rsid w:val="27995217"/>
    <w:rsid w:val="27A23668"/>
    <w:rsid w:val="27A47F2D"/>
    <w:rsid w:val="27A73FC1"/>
    <w:rsid w:val="27C37352"/>
    <w:rsid w:val="27C657D2"/>
    <w:rsid w:val="27C769F6"/>
    <w:rsid w:val="27D16220"/>
    <w:rsid w:val="27D62A50"/>
    <w:rsid w:val="27F46DE4"/>
    <w:rsid w:val="27F57E3D"/>
    <w:rsid w:val="27F77AE8"/>
    <w:rsid w:val="27FD1365"/>
    <w:rsid w:val="28004487"/>
    <w:rsid w:val="280421A8"/>
    <w:rsid w:val="28124C82"/>
    <w:rsid w:val="281B2396"/>
    <w:rsid w:val="282F784B"/>
    <w:rsid w:val="28434726"/>
    <w:rsid w:val="284E399A"/>
    <w:rsid w:val="28604709"/>
    <w:rsid w:val="28622D81"/>
    <w:rsid w:val="286B4472"/>
    <w:rsid w:val="28897105"/>
    <w:rsid w:val="28943C39"/>
    <w:rsid w:val="289B4EE3"/>
    <w:rsid w:val="289E58FD"/>
    <w:rsid w:val="28A27B3B"/>
    <w:rsid w:val="28A65E73"/>
    <w:rsid w:val="28AF344A"/>
    <w:rsid w:val="28B759D7"/>
    <w:rsid w:val="28D949D4"/>
    <w:rsid w:val="28EB1B5B"/>
    <w:rsid w:val="28FD2DF3"/>
    <w:rsid w:val="290723ED"/>
    <w:rsid w:val="290F7B65"/>
    <w:rsid w:val="2912486F"/>
    <w:rsid w:val="29165014"/>
    <w:rsid w:val="29171E00"/>
    <w:rsid w:val="291A1B75"/>
    <w:rsid w:val="29201D73"/>
    <w:rsid w:val="292A0128"/>
    <w:rsid w:val="293D3B27"/>
    <w:rsid w:val="29476E5B"/>
    <w:rsid w:val="29502E1E"/>
    <w:rsid w:val="2951552F"/>
    <w:rsid w:val="29526CB6"/>
    <w:rsid w:val="29537975"/>
    <w:rsid w:val="295D46EB"/>
    <w:rsid w:val="296214FF"/>
    <w:rsid w:val="29731770"/>
    <w:rsid w:val="297D7878"/>
    <w:rsid w:val="29861E98"/>
    <w:rsid w:val="29A14BBA"/>
    <w:rsid w:val="29A4131D"/>
    <w:rsid w:val="29A5292C"/>
    <w:rsid w:val="29AF3C86"/>
    <w:rsid w:val="29B73324"/>
    <w:rsid w:val="29C46C65"/>
    <w:rsid w:val="29D64ABC"/>
    <w:rsid w:val="29DB4B56"/>
    <w:rsid w:val="29DF2DE7"/>
    <w:rsid w:val="29E71186"/>
    <w:rsid w:val="29E7311D"/>
    <w:rsid w:val="29F02A91"/>
    <w:rsid w:val="29F74DA5"/>
    <w:rsid w:val="29F91258"/>
    <w:rsid w:val="2A0466EA"/>
    <w:rsid w:val="2A0F6D32"/>
    <w:rsid w:val="2A1245B9"/>
    <w:rsid w:val="2A2E037D"/>
    <w:rsid w:val="2A2F2E9A"/>
    <w:rsid w:val="2A2F6A41"/>
    <w:rsid w:val="2A31511B"/>
    <w:rsid w:val="2A3F42CE"/>
    <w:rsid w:val="2A5F35BA"/>
    <w:rsid w:val="2A5F3924"/>
    <w:rsid w:val="2A61597B"/>
    <w:rsid w:val="2A652461"/>
    <w:rsid w:val="2A6C13EE"/>
    <w:rsid w:val="2A6F62CB"/>
    <w:rsid w:val="2A707DC4"/>
    <w:rsid w:val="2A75428C"/>
    <w:rsid w:val="2A77061F"/>
    <w:rsid w:val="2A850231"/>
    <w:rsid w:val="2A9A7DD4"/>
    <w:rsid w:val="2A9B5D26"/>
    <w:rsid w:val="2A9E50B9"/>
    <w:rsid w:val="2AA01AFC"/>
    <w:rsid w:val="2AB32621"/>
    <w:rsid w:val="2AB74F1D"/>
    <w:rsid w:val="2ABA0F75"/>
    <w:rsid w:val="2AC50D6F"/>
    <w:rsid w:val="2AC77829"/>
    <w:rsid w:val="2ACB2664"/>
    <w:rsid w:val="2ACB3B21"/>
    <w:rsid w:val="2ACF075A"/>
    <w:rsid w:val="2AD263AB"/>
    <w:rsid w:val="2AF34313"/>
    <w:rsid w:val="2AF92A59"/>
    <w:rsid w:val="2AFA52AB"/>
    <w:rsid w:val="2AFC1696"/>
    <w:rsid w:val="2B0032E6"/>
    <w:rsid w:val="2B023CA9"/>
    <w:rsid w:val="2B07370E"/>
    <w:rsid w:val="2B0A02CA"/>
    <w:rsid w:val="2B12533F"/>
    <w:rsid w:val="2B1B6EA4"/>
    <w:rsid w:val="2B2E34A8"/>
    <w:rsid w:val="2B36289B"/>
    <w:rsid w:val="2B422FAB"/>
    <w:rsid w:val="2B5D6E41"/>
    <w:rsid w:val="2B607BBB"/>
    <w:rsid w:val="2B67331F"/>
    <w:rsid w:val="2B754C5C"/>
    <w:rsid w:val="2B8209DE"/>
    <w:rsid w:val="2B910C42"/>
    <w:rsid w:val="2B967EBD"/>
    <w:rsid w:val="2B990F62"/>
    <w:rsid w:val="2BC26146"/>
    <w:rsid w:val="2BCE2263"/>
    <w:rsid w:val="2BDC6E62"/>
    <w:rsid w:val="2BE315B0"/>
    <w:rsid w:val="2BE46B94"/>
    <w:rsid w:val="2BF13993"/>
    <w:rsid w:val="2BF51D47"/>
    <w:rsid w:val="2BFC6AAD"/>
    <w:rsid w:val="2C095573"/>
    <w:rsid w:val="2C141090"/>
    <w:rsid w:val="2C1509AC"/>
    <w:rsid w:val="2C1864AF"/>
    <w:rsid w:val="2C186D76"/>
    <w:rsid w:val="2C195D11"/>
    <w:rsid w:val="2C233E75"/>
    <w:rsid w:val="2C2862CE"/>
    <w:rsid w:val="2C312F3F"/>
    <w:rsid w:val="2C3C1196"/>
    <w:rsid w:val="2C486FCC"/>
    <w:rsid w:val="2C4F796B"/>
    <w:rsid w:val="2C57446E"/>
    <w:rsid w:val="2C593543"/>
    <w:rsid w:val="2C6103B8"/>
    <w:rsid w:val="2C651656"/>
    <w:rsid w:val="2C6A3484"/>
    <w:rsid w:val="2C6C3826"/>
    <w:rsid w:val="2C6F7E13"/>
    <w:rsid w:val="2C723CB2"/>
    <w:rsid w:val="2C725955"/>
    <w:rsid w:val="2C7D386D"/>
    <w:rsid w:val="2C8B7E9E"/>
    <w:rsid w:val="2C8E15B2"/>
    <w:rsid w:val="2C9A2754"/>
    <w:rsid w:val="2C9D1644"/>
    <w:rsid w:val="2CAB39CB"/>
    <w:rsid w:val="2CBE2B31"/>
    <w:rsid w:val="2CD55D9D"/>
    <w:rsid w:val="2CDE2AF6"/>
    <w:rsid w:val="2CE56C21"/>
    <w:rsid w:val="2CE71B8E"/>
    <w:rsid w:val="2CF73532"/>
    <w:rsid w:val="2CF82C72"/>
    <w:rsid w:val="2D0014B0"/>
    <w:rsid w:val="2D005972"/>
    <w:rsid w:val="2D027D2B"/>
    <w:rsid w:val="2D0B2B8B"/>
    <w:rsid w:val="2D0F7028"/>
    <w:rsid w:val="2D116B42"/>
    <w:rsid w:val="2D212ED1"/>
    <w:rsid w:val="2D235B30"/>
    <w:rsid w:val="2D246F8F"/>
    <w:rsid w:val="2D2940F6"/>
    <w:rsid w:val="2D3964D9"/>
    <w:rsid w:val="2D4C29EA"/>
    <w:rsid w:val="2D567862"/>
    <w:rsid w:val="2D5E0E22"/>
    <w:rsid w:val="2D620AB2"/>
    <w:rsid w:val="2D652A1B"/>
    <w:rsid w:val="2D6D174B"/>
    <w:rsid w:val="2D703C9E"/>
    <w:rsid w:val="2D7358A1"/>
    <w:rsid w:val="2D746295"/>
    <w:rsid w:val="2D815908"/>
    <w:rsid w:val="2D8B749C"/>
    <w:rsid w:val="2D8D30DA"/>
    <w:rsid w:val="2D9F47F6"/>
    <w:rsid w:val="2DB27C5C"/>
    <w:rsid w:val="2DC57552"/>
    <w:rsid w:val="2DE24431"/>
    <w:rsid w:val="2DEE0E6F"/>
    <w:rsid w:val="2DFB4AB8"/>
    <w:rsid w:val="2DFC4D2C"/>
    <w:rsid w:val="2E005871"/>
    <w:rsid w:val="2E010343"/>
    <w:rsid w:val="2E047FF2"/>
    <w:rsid w:val="2E067F7A"/>
    <w:rsid w:val="2E0917A2"/>
    <w:rsid w:val="2E0A4D72"/>
    <w:rsid w:val="2E1563A3"/>
    <w:rsid w:val="2E20775F"/>
    <w:rsid w:val="2E21007A"/>
    <w:rsid w:val="2E241823"/>
    <w:rsid w:val="2E272C30"/>
    <w:rsid w:val="2E2934E6"/>
    <w:rsid w:val="2E2B10FA"/>
    <w:rsid w:val="2E2E1972"/>
    <w:rsid w:val="2E3623A7"/>
    <w:rsid w:val="2E593A9E"/>
    <w:rsid w:val="2E5D43D6"/>
    <w:rsid w:val="2E646D00"/>
    <w:rsid w:val="2E701EAB"/>
    <w:rsid w:val="2E7624C6"/>
    <w:rsid w:val="2E797BD3"/>
    <w:rsid w:val="2E8D6535"/>
    <w:rsid w:val="2E927696"/>
    <w:rsid w:val="2E98795E"/>
    <w:rsid w:val="2EA067FD"/>
    <w:rsid w:val="2EA162D1"/>
    <w:rsid w:val="2EA3443A"/>
    <w:rsid w:val="2EA939D2"/>
    <w:rsid w:val="2EB02B78"/>
    <w:rsid w:val="2EB734DA"/>
    <w:rsid w:val="2EBE04F6"/>
    <w:rsid w:val="2EC2730E"/>
    <w:rsid w:val="2EC644FB"/>
    <w:rsid w:val="2EC67093"/>
    <w:rsid w:val="2EC86AEE"/>
    <w:rsid w:val="2ECE7227"/>
    <w:rsid w:val="2ED53B5F"/>
    <w:rsid w:val="2ED5709E"/>
    <w:rsid w:val="2EEB110D"/>
    <w:rsid w:val="2EF14461"/>
    <w:rsid w:val="2EFC280E"/>
    <w:rsid w:val="2F080F41"/>
    <w:rsid w:val="2F0A5C04"/>
    <w:rsid w:val="2F0C2EA5"/>
    <w:rsid w:val="2F0C6787"/>
    <w:rsid w:val="2F101507"/>
    <w:rsid w:val="2F2B4824"/>
    <w:rsid w:val="2F2E0D8A"/>
    <w:rsid w:val="2F4174F0"/>
    <w:rsid w:val="2F486510"/>
    <w:rsid w:val="2F686996"/>
    <w:rsid w:val="2F796077"/>
    <w:rsid w:val="2F8A5B26"/>
    <w:rsid w:val="2F8E3EE3"/>
    <w:rsid w:val="2F901C22"/>
    <w:rsid w:val="2FA4542C"/>
    <w:rsid w:val="2FAC2975"/>
    <w:rsid w:val="2FB11BE0"/>
    <w:rsid w:val="2FB330DD"/>
    <w:rsid w:val="2FB70BD4"/>
    <w:rsid w:val="2FBD331C"/>
    <w:rsid w:val="2FC8768C"/>
    <w:rsid w:val="2FD12748"/>
    <w:rsid w:val="2FD30970"/>
    <w:rsid w:val="2FDA41AA"/>
    <w:rsid w:val="2FDF69C1"/>
    <w:rsid w:val="2FE4637B"/>
    <w:rsid w:val="2FE670C0"/>
    <w:rsid w:val="2FE760A1"/>
    <w:rsid w:val="2FE97DC8"/>
    <w:rsid w:val="2FF73B0C"/>
    <w:rsid w:val="300C3372"/>
    <w:rsid w:val="301133B8"/>
    <w:rsid w:val="301828ED"/>
    <w:rsid w:val="301D2329"/>
    <w:rsid w:val="30205928"/>
    <w:rsid w:val="303A1D50"/>
    <w:rsid w:val="304A72D6"/>
    <w:rsid w:val="304C5151"/>
    <w:rsid w:val="307E4735"/>
    <w:rsid w:val="308A5F5D"/>
    <w:rsid w:val="308A797B"/>
    <w:rsid w:val="30943EB2"/>
    <w:rsid w:val="30971D6F"/>
    <w:rsid w:val="30A85C9F"/>
    <w:rsid w:val="30AD4DCB"/>
    <w:rsid w:val="30B4765E"/>
    <w:rsid w:val="30B667BB"/>
    <w:rsid w:val="30B8456C"/>
    <w:rsid w:val="30C73496"/>
    <w:rsid w:val="30CF10F9"/>
    <w:rsid w:val="30D8213D"/>
    <w:rsid w:val="30E33718"/>
    <w:rsid w:val="30E949D6"/>
    <w:rsid w:val="30ED24A7"/>
    <w:rsid w:val="30EE482F"/>
    <w:rsid w:val="30F57E0B"/>
    <w:rsid w:val="30FA61EE"/>
    <w:rsid w:val="30FA6ECA"/>
    <w:rsid w:val="30FB394C"/>
    <w:rsid w:val="30FC2B6E"/>
    <w:rsid w:val="30FE300E"/>
    <w:rsid w:val="3102343B"/>
    <w:rsid w:val="310E2475"/>
    <w:rsid w:val="31137660"/>
    <w:rsid w:val="311D67AA"/>
    <w:rsid w:val="312214E3"/>
    <w:rsid w:val="31380577"/>
    <w:rsid w:val="31483B8D"/>
    <w:rsid w:val="314D2662"/>
    <w:rsid w:val="316601C0"/>
    <w:rsid w:val="316A48EC"/>
    <w:rsid w:val="316B7AC7"/>
    <w:rsid w:val="316F7978"/>
    <w:rsid w:val="317F3FF3"/>
    <w:rsid w:val="31971D9D"/>
    <w:rsid w:val="31995BB7"/>
    <w:rsid w:val="31A321C0"/>
    <w:rsid w:val="31A97170"/>
    <w:rsid w:val="31B45116"/>
    <w:rsid w:val="31BB6E48"/>
    <w:rsid w:val="31CF75BF"/>
    <w:rsid w:val="31D77292"/>
    <w:rsid w:val="31DF0B9E"/>
    <w:rsid w:val="31EB2C2F"/>
    <w:rsid w:val="31FD13E5"/>
    <w:rsid w:val="320574C1"/>
    <w:rsid w:val="320757B4"/>
    <w:rsid w:val="3208052C"/>
    <w:rsid w:val="320A491D"/>
    <w:rsid w:val="32160A33"/>
    <w:rsid w:val="32190AA3"/>
    <w:rsid w:val="322E344E"/>
    <w:rsid w:val="323845E7"/>
    <w:rsid w:val="324147EC"/>
    <w:rsid w:val="32421D13"/>
    <w:rsid w:val="32545121"/>
    <w:rsid w:val="325B66DD"/>
    <w:rsid w:val="325C50C2"/>
    <w:rsid w:val="325F3ECE"/>
    <w:rsid w:val="32692ACD"/>
    <w:rsid w:val="326A2142"/>
    <w:rsid w:val="3275295D"/>
    <w:rsid w:val="32800452"/>
    <w:rsid w:val="32840689"/>
    <w:rsid w:val="328B663C"/>
    <w:rsid w:val="32905062"/>
    <w:rsid w:val="329A765E"/>
    <w:rsid w:val="329D5CE5"/>
    <w:rsid w:val="329E743A"/>
    <w:rsid w:val="32A84ADE"/>
    <w:rsid w:val="32A91F31"/>
    <w:rsid w:val="32B729A2"/>
    <w:rsid w:val="32C96654"/>
    <w:rsid w:val="32D471A3"/>
    <w:rsid w:val="32E068A4"/>
    <w:rsid w:val="32E129F9"/>
    <w:rsid w:val="32EB498D"/>
    <w:rsid w:val="32ED3E20"/>
    <w:rsid w:val="32F82224"/>
    <w:rsid w:val="33037D24"/>
    <w:rsid w:val="33077A6B"/>
    <w:rsid w:val="33096A98"/>
    <w:rsid w:val="332C7BA2"/>
    <w:rsid w:val="33311554"/>
    <w:rsid w:val="3339040A"/>
    <w:rsid w:val="33442B5F"/>
    <w:rsid w:val="3345160D"/>
    <w:rsid w:val="334B751B"/>
    <w:rsid w:val="33536293"/>
    <w:rsid w:val="335A369A"/>
    <w:rsid w:val="335A7DFF"/>
    <w:rsid w:val="3363221D"/>
    <w:rsid w:val="33637EDA"/>
    <w:rsid w:val="3379004E"/>
    <w:rsid w:val="337E30A1"/>
    <w:rsid w:val="338818B8"/>
    <w:rsid w:val="338A5DAD"/>
    <w:rsid w:val="33933337"/>
    <w:rsid w:val="33946513"/>
    <w:rsid w:val="33A1247D"/>
    <w:rsid w:val="33A83DFF"/>
    <w:rsid w:val="33AC1BF8"/>
    <w:rsid w:val="33B34315"/>
    <w:rsid w:val="33BD725C"/>
    <w:rsid w:val="33C058D8"/>
    <w:rsid w:val="33C22976"/>
    <w:rsid w:val="33C33949"/>
    <w:rsid w:val="33C95B12"/>
    <w:rsid w:val="33D64ABC"/>
    <w:rsid w:val="33DA0DEF"/>
    <w:rsid w:val="33E5518B"/>
    <w:rsid w:val="33F20FBF"/>
    <w:rsid w:val="33F35985"/>
    <w:rsid w:val="33F50981"/>
    <w:rsid w:val="33FA15F4"/>
    <w:rsid w:val="340A179E"/>
    <w:rsid w:val="340D342B"/>
    <w:rsid w:val="34125C18"/>
    <w:rsid w:val="3427225F"/>
    <w:rsid w:val="34423436"/>
    <w:rsid w:val="345A0EA7"/>
    <w:rsid w:val="34730E54"/>
    <w:rsid w:val="348B4258"/>
    <w:rsid w:val="348B64AD"/>
    <w:rsid w:val="348F22D5"/>
    <w:rsid w:val="34922008"/>
    <w:rsid w:val="3496111A"/>
    <w:rsid w:val="34A034F2"/>
    <w:rsid w:val="34A66245"/>
    <w:rsid w:val="34A91883"/>
    <w:rsid w:val="34B50A27"/>
    <w:rsid w:val="34E428AA"/>
    <w:rsid w:val="34F616C2"/>
    <w:rsid w:val="35001C63"/>
    <w:rsid w:val="35145C0C"/>
    <w:rsid w:val="351B23AB"/>
    <w:rsid w:val="351B7855"/>
    <w:rsid w:val="351C33C2"/>
    <w:rsid w:val="351F525E"/>
    <w:rsid w:val="352612A5"/>
    <w:rsid w:val="35332F3C"/>
    <w:rsid w:val="35376FC0"/>
    <w:rsid w:val="353B1B19"/>
    <w:rsid w:val="353E07F5"/>
    <w:rsid w:val="354348F6"/>
    <w:rsid w:val="354436E7"/>
    <w:rsid w:val="35594B74"/>
    <w:rsid w:val="355B76D8"/>
    <w:rsid w:val="355D6FBC"/>
    <w:rsid w:val="3573120F"/>
    <w:rsid w:val="35766A84"/>
    <w:rsid w:val="35920EE5"/>
    <w:rsid w:val="35963A6E"/>
    <w:rsid w:val="359763D0"/>
    <w:rsid w:val="35A621F9"/>
    <w:rsid w:val="35A71E22"/>
    <w:rsid w:val="35AC7853"/>
    <w:rsid w:val="35C05C65"/>
    <w:rsid w:val="35C7009D"/>
    <w:rsid w:val="35CB3E6B"/>
    <w:rsid w:val="35DA4ADD"/>
    <w:rsid w:val="35F7629A"/>
    <w:rsid w:val="35F91CD1"/>
    <w:rsid w:val="35FF3141"/>
    <w:rsid w:val="360555B5"/>
    <w:rsid w:val="3605584B"/>
    <w:rsid w:val="360A2E12"/>
    <w:rsid w:val="361F2CFE"/>
    <w:rsid w:val="362225AA"/>
    <w:rsid w:val="36271D5A"/>
    <w:rsid w:val="362827DF"/>
    <w:rsid w:val="362B1F21"/>
    <w:rsid w:val="362D16D5"/>
    <w:rsid w:val="3633294C"/>
    <w:rsid w:val="363E253B"/>
    <w:rsid w:val="364D4CF8"/>
    <w:rsid w:val="36652954"/>
    <w:rsid w:val="367243CB"/>
    <w:rsid w:val="368123BD"/>
    <w:rsid w:val="36820902"/>
    <w:rsid w:val="368212F7"/>
    <w:rsid w:val="36996D78"/>
    <w:rsid w:val="36A70CAD"/>
    <w:rsid w:val="36BA358C"/>
    <w:rsid w:val="36BA68A3"/>
    <w:rsid w:val="36BB45EA"/>
    <w:rsid w:val="36C63974"/>
    <w:rsid w:val="36D212E5"/>
    <w:rsid w:val="36DB2793"/>
    <w:rsid w:val="36E17D26"/>
    <w:rsid w:val="36E36420"/>
    <w:rsid w:val="36EA47FC"/>
    <w:rsid w:val="36EF4212"/>
    <w:rsid w:val="36F140D6"/>
    <w:rsid w:val="36F71D7C"/>
    <w:rsid w:val="370B3C6B"/>
    <w:rsid w:val="37110689"/>
    <w:rsid w:val="372C7CE4"/>
    <w:rsid w:val="37314649"/>
    <w:rsid w:val="37370C22"/>
    <w:rsid w:val="374A36D1"/>
    <w:rsid w:val="376056E9"/>
    <w:rsid w:val="3778231F"/>
    <w:rsid w:val="37785F5C"/>
    <w:rsid w:val="37852A30"/>
    <w:rsid w:val="378752B2"/>
    <w:rsid w:val="37880EF6"/>
    <w:rsid w:val="378F6CB6"/>
    <w:rsid w:val="37A00482"/>
    <w:rsid w:val="37A110A1"/>
    <w:rsid w:val="37A3501E"/>
    <w:rsid w:val="37A4521D"/>
    <w:rsid w:val="37B16457"/>
    <w:rsid w:val="37B428AF"/>
    <w:rsid w:val="37B73B9E"/>
    <w:rsid w:val="37C91233"/>
    <w:rsid w:val="37D977E9"/>
    <w:rsid w:val="37F2691F"/>
    <w:rsid w:val="37F827E7"/>
    <w:rsid w:val="37F82F85"/>
    <w:rsid w:val="380D0D4B"/>
    <w:rsid w:val="381258D0"/>
    <w:rsid w:val="38153055"/>
    <w:rsid w:val="382E7411"/>
    <w:rsid w:val="383130BB"/>
    <w:rsid w:val="383815A1"/>
    <w:rsid w:val="38573139"/>
    <w:rsid w:val="385B1629"/>
    <w:rsid w:val="385B378C"/>
    <w:rsid w:val="385E1595"/>
    <w:rsid w:val="387C6AF1"/>
    <w:rsid w:val="38861D37"/>
    <w:rsid w:val="3892439E"/>
    <w:rsid w:val="38A47E29"/>
    <w:rsid w:val="38AE6F57"/>
    <w:rsid w:val="38B608DC"/>
    <w:rsid w:val="38BB022D"/>
    <w:rsid w:val="38BE0D57"/>
    <w:rsid w:val="38C03DDF"/>
    <w:rsid w:val="38D86DDD"/>
    <w:rsid w:val="38DE0236"/>
    <w:rsid w:val="38E34656"/>
    <w:rsid w:val="38E66584"/>
    <w:rsid w:val="39030FA3"/>
    <w:rsid w:val="39096D50"/>
    <w:rsid w:val="390F3492"/>
    <w:rsid w:val="392C2E2F"/>
    <w:rsid w:val="39330F57"/>
    <w:rsid w:val="3933722E"/>
    <w:rsid w:val="393C7D76"/>
    <w:rsid w:val="394C022F"/>
    <w:rsid w:val="39596DCE"/>
    <w:rsid w:val="395F6381"/>
    <w:rsid w:val="39606EAB"/>
    <w:rsid w:val="396E3055"/>
    <w:rsid w:val="397B2E60"/>
    <w:rsid w:val="398448EF"/>
    <w:rsid w:val="399522F6"/>
    <w:rsid w:val="39955494"/>
    <w:rsid w:val="399D1B85"/>
    <w:rsid w:val="399F7B47"/>
    <w:rsid w:val="39A51CED"/>
    <w:rsid w:val="39AE1B2D"/>
    <w:rsid w:val="39B4058C"/>
    <w:rsid w:val="39C56F87"/>
    <w:rsid w:val="39D14B0D"/>
    <w:rsid w:val="39D2322A"/>
    <w:rsid w:val="39D7332B"/>
    <w:rsid w:val="39D82A59"/>
    <w:rsid w:val="39E9326D"/>
    <w:rsid w:val="39EA25D9"/>
    <w:rsid w:val="39F12261"/>
    <w:rsid w:val="39F27950"/>
    <w:rsid w:val="39F32C28"/>
    <w:rsid w:val="3A066EB4"/>
    <w:rsid w:val="3A094E29"/>
    <w:rsid w:val="3A0E6468"/>
    <w:rsid w:val="3A387BB8"/>
    <w:rsid w:val="3A3B526A"/>
    <w:rsid w:val="3A3E7A83"/>
    <w:rsid w:val="3A461889"/>
    <w:rsid w:val="3A4F559C"/>
    <w:rsid w:val="3A500125"/>
    <w:rsid w:val="3A581445"/>
    <w:rsid w:val="3A6114D2"/>
    <w:rsid w:val="3A675E6B"/>
    <w:rsid w:val="3A6D6B40"/>
    <w:rsid w:val="3A700C72"/>
    <w:rsid w:val="3A704814"/>
    <w:rsid w:val="3A741BB8"/>
    <w:rsid w:val="3A7A6E83"/>
    <w:rsid w:val="3A7C6A4F"/>
    <w:rsid w:val="3A824D57"/>
    <w:rsid w:val="3A850997"/>
    <w:rsid w:val="3A864452"/>
    <w:rsid w:val="3A8B7139"/>
    <w:rsid w:val="3A8C23D8"/>
    <w:rsid w:val="3A8E001B"/>
    <w:rsid w:val="3A947CD7"/>
    <w:rsid w:val="3A950D1C"/>
    <w:rsid w:val="3A963E42"/>
    <w:rsid w:val="3A9D06FD"/>
    <w:rsid w:val="3AA2276A"/>
    <w:rsid w:val="3ABA2D65"/>
    <w:rsid w:val="3ABA674A"/>
    <w:rsid w:val="3ABF2920"/>
    <w:rsid w:val="3AC54C20"/>
    <w:rsid w:val="3ACC7CDD"/>
    <w:rsid w:val="3ADB4207"/>
    <w:rsid w:val="3AED22D6"/>
    <w:rsid w:val="3AF779AD"/>
    <w:rsid w:val="3AFC3FBD"/>
    <w:rsid w:val="3B054314"/>
    <w:rsid w:val="3B06454D"/>
    <w:rsid w:val="3B0A0A82"/>
    <w:rsid w:val="3B0A2CBD"/>
    <w:rsid w:val="3B20616F"/>
    <w:rsid w:val="3B236D02"/>
    <w:rsid w:val="3B36743C"/>
    <w:rsid w:val="3B3A01BF"/>
    <w:rsid w:val="3B3B3B35"/>
    <w:rsid w:val="3B4959AC"/>
    <w:rsid w:val="3B4D10A8"/>
    <w:rsid w:val="3B4D18B9"/>
    <w:rsid w:val="3B4D4CCB"/>
    <w:rsid w:val="3B5129DA"/>
    <w:rsid w:val="3B516536"/>
    <w:rsid w:val="3B54121C"/>
    <w:rsid w:val="3B66672B"/>
    <w:rsid w:val="3B740A95"/>
    <w:rsid w:val="3B7C6EB5"/>
    <w:rsid w:val="3B8663F4"/>
    <w:rsid w:val="3B8E3DF5"/>
    <w:rsid w:val="3BAC1FFB"/>
    <w:rsid w:val="3BB132FB"/>
    <w:rsid w:val="3BB9180A"/>
    <w:rsid w:val="3BBD67A3"/>
    <w:rsid w:val="3BCC3C12"/>
    <w:rsid w:val="3BDE1D0F"/>
    <w:rsid w:val="3BE176EB"/>
    <w:rsid w:val="3BF25682"/>
    <w:rsid w:val="3BFA2D9E"/>
    <w:rsid w:val="3BFC2AB1"/>
    <w:rsid w:val="3C0B07A7"/>
    <w:rsid w:val="3C0B6357"/>
    <w:rsid w:val="3C0C1C7A"/>
    <w:rsid w:val="3C143550"/>
    <w:rsid w:val="3C1D100F"/>
    <w:rsid w:val="3C2E30BC"/>
    <w:rsid w:val="3C371B83"/>
    <w:rsid w:val="3C5D5E46"/>
    <w:rsid w:val="3C5E6796"/>
    <w:rsid w:val="3C6166C0"/>
    <w:rsid w:val="3C687FDC"/>
    <w:rsid w:val="3C7524EC"/>
    <w:rsid w:val="3C782EED"/>
    <w:rsid w:val="3C805268"/>
    <w:rsid w:val="3C8C5C90"/>
    <w:rsid w:val="3C977434"/>
    <w:rsid w:val="3C98543B"/>
    <w:rsid w:val="3C9A3FDC"/>
    <w:rsid w:val="3CAE083D"/>
    <w:rsid w:val="3CC60CD5"/>
    <w:rsid w:val="3CC67348"/>
    <w:rsid w:val="3CD00F50"/>
    <w:rsid w:val="3CF63EFF"/>
    <w:rsid w:val="3CFA71AB"/>
    <w:rsid w:val="3CFE49F8"/>
    <w:rsid w:val="3D03632E"/>
    <w:rsid w:val="3D082EDF"/>
    <w:rsid w:val="3D0E2E63"/>
    <w:rsid w:val="3D3561DD"/>
    <w:rsid w:val="3D4D7A91"/>
    <w:rsid w:val="3D4F7B05"/>
    <w:rsid w:val="3D54300B"/>
    <w:rsid w:val="3D6A5304"/>
    <w:rsid w:val="3D73441B"/>
    <w:rsid w:val="3D8222C4"/>
    <w:rsid w:val="3D8D6F46"/>
    <w:rsid w:val="3D8F0147"/>
    <w:rsid w:val="3D930974"/>
    <w:rsid w:val="3D997BC8"/>
    <w:rsid w:val="3D9A7DE3"/>
    <w:rsid w:val="3DA561FC"/>
    <w:rsid w:val="3DA73E0D"/>
    <w:rsid w:val="3DAD404A"/>
    <w:rsid w:val="3DAE5D24"/>
    <w:rsid w:val="3DB0038E"/>
    <w:rsid w:val="3DB76FA2"/>
    <w:rsid w:val="3DC45E51"/>
    <w:rsid w:val="3DCB6C21"/>
    <w:rsid w:val="3DE63E91"/>
    <w:rsid w:val="3DEA1AD9"/>
    <w:rsid w:val="3DF25AC9"/>
    <w:rsid w:val="3DFE12E5"/>
    <w:rsid w:val="3E0C4B3C"/>
    <w:rsid w:val="3E156ABF"/>
    <w:rsid w:val="3E1F0B6E"/>
    <w:rsid w:val="3E2975DF"/>
    <w:rsid w:val="3E2C5A88"/>
    <w:rsid w:val="3E461BFC"/>
    <w:rsid w:val="3E53594E"/>
    <w:rsid w:val="3E587852"/>
    <w:rsid w:val="3E734A16"/>
    <w:rsid w:val="3E782131"/>
    <w:rsid w:val="3E8B35FF"/>
    <w:rsid w:val="3E8C7809"/>
    <w:rsid w:val="3E8F301C"/>
    <w:rsid w:val="3E957BE5"/>
    <w:rsid w:val="3EA766D7"/>
    <w:rsid w:val="3EAD116B"/>
    <w:rsid w:val="3EAF459A"/>
    <w:rsid w:val="3EB74BB5"/>
    <w:rsid w:val="3EBC2184"/>
    <w:rsid w:val="3EBF438A"/>
    <w:rsid w:val="3EC15189"/>
    <w:rsid w:val="3ED217B1"/>
    <w:rsid w:val="3ED44173"/>
    <w:rsid w:val="3EE2025A"/>
    <w:rsid w:val="3EE21D7A"/>
    <w:rsid w:val="3EF33A9A"/>
    <w:rsid w:val="3EF84CC5"/>
    <w:rsid w:val="3F172843"/>
    <w:rsid w:val="3F277F84"/>
    <w:rsid w:val="3F2E3D1E"/>
    <w:rsid w:val="3F324878"/>
    <w:rsid w:val="3F357622"/>
    <w:rsid w:val="3F4572FF"/>
    <w:rsid w:val="3F49047B"/>
    <w:rsid w:val="3F49690F"/>
    <w:rsid w:val="3F4B29CD"/>
    <w:rsid w:val="3F4C4DF4"/>
    <w:rsid w:val="3F500A65"/>
    <w:rsid w:val="3F547DE0"/>
    <w:rsid w:val="3F583DA4"/>
    <w:rsid w:val="3F5A14E5"/>
    <w:rsid w:val="3F6936B0"/>
    <w:rsid w:val="3F6B6B1B"/>
    <w:rsid w:val="3F717440"/>
    <w:rsid w:val="3F735C05"/>
    <w:rsid w:val="3F773094"/>
    <w:rsid w:val="3F816E65"/>
    <w:rsid w:val="3F824F5D"/>
    <w:rsid w:val="3F8604AC"/>
    <w:rsid w:val="3F8E14A7"/>
    <w:rsid w:val="3F9215DF"/>
    <w:rsid w:val="3F9A3889"/>
    <w:rsid w:val="3F9B1329"/>
    <w:rsid w:val="3FA6268D"/>
    <w:rsid w:val="3FAE4B65"/>
    <w:rsid w:val="3FB02F4C"/>
    <w:rsid w:val="3FB32BAC"/>
    <w:rsid w:val="3FC05EDC"/>
    <w:rsid w:val="3FCE254D"/>
    <w:rsid w:val="3FD378FD"/>
    <w:rsid w:val="3FE703C1"/>
    <w:rsid w:val="3FF27D17"/>
    <w:rsid w:val="3FFC55A5"/>
    <w:rsid w:val="40010611"/>
    <w:rsid w:val="40114771"/>
    <w:rsid w:val="4018194F"/>
    <w:rsid w:val="40242D1A"/>
    <w:rsid w:val="402E650B"/>
    <w:rsid w:val="40351B99"/>
    <w:rsid w:val="40361EE3"/>
    <w:rsid w:val="40365D39"/>
    <w:rsid w:val="40377D71"/>
    <w:rsid w:val="403B29C0"/>
    <w:rsid w:val="404A535E"/>
    <w:rsid w:val="404E5FCE"/>
    <w:rsid w:val="405125C0"/>
    <w:rsid w:val="4057639D"/>
    <w:rsid w:val="40697B86"/>
    <w:rsid w:val="40835196"/>
    <w:rsid w:val="408B433C"/>
    <w:rsid w:val="408C182B"/>
    <w:rsid w:val="40940284"/>
    <w:rsid w:val="40956C3C"/>
    <w:rsid w:val="409A3D36"/>
    <w:rsid w:val="409D0B02"/>
    <w:rsid w:val="409F4105"/>
    <w:rsid w:val="40A43F59"/>
    <w:rsid w:val="40A725E1"/>
    <w:rsid w:val="40A95132"/>
    <w:rsid w:val="40B0543A"/>
    <w:rsid w:val="40C22A9D"/>
    <w:rsid w:val="40C836E5"/>
    <w:rsid w:val="40EB78AF"/>
    <w:rsid w:val="40EE56FC"/>
    <w:rsid w:val="40F33A90"/>
    <w:rsid w:val="40F5691F"/>
    <w:rsid w:val="40FD6B85"/>
    <w:rsid w:val="41094720"/>
    <w:rsid w:val="41183A32"/>
    <w:rsid w:val="41226AC7"/>
    <w:rsid w:val="41395CDC"/>
    <w:rsid w:val="413F3D3C"/>
    <w:rsid w:val="414A2B2C"/>
    <w:rsid w:val="414F084D"/>
    <w:rsid w:val="415650C4"/>
    <w:rsid w:val="4157487D"/>
    <w:rsid w:val="41596804"/>
    <w:rsid w:val="416334E1"/>
    <w:rsid w:val="41641A99"/>
    <w:rsid w:val="416500F7"/>
    <w:rsid w:val="416F68DC"/>
    <w:rsid w:val="417C1F63"/>
    <w:rsid w:val="418A65AC"/>
    <w:rsid w:val="41A13682"/>
    <w:rsid w:val="41C01A1C"/>
    <w:rsid w:val="41D35E10"/>
    <w:rsid w:val="41D60CB4"/>
    <w:rsid w:val="41DB2A61"/>
    <w:rsid w:val="41EB1B1D"/>
    <w:rsid w:val="42023ED6"/>
    <w:rsid w:val="421015D0"/>
    <w:rsid w:val="4214103D"/>
    <w:rsid w:val="421F3E1C"/>
    <w:rsid w:val="423E3B31"/>
    <w:rsid w:val="424A0945"/>
    <w:rsid w:val="4251007E"/>
    <w:rsid w:val="425D1D0D"/>
    <w:rsid w:val="426248D9"/>
    <w:rsid w:val="426B0FE2"/>
    <w:rsid w:val="427053F0"/>
    <w:rsid w:val="4278754D"/>
    <w:rsid w:val="427A51DD"/>
    <w:rsid w:val="4280744C"/>
    <w:rsid w:val="428572CF"/>
    <w:rsid w:val="42AC1B7B"/>
    <w:rsid w:val="42AF3E10"/>
    <w:rsid w:val="42BB7F47"/>
    <w:rsid w:val="42C83889"/>
    <w:rsid w:val="42D54D37"/>
    <w:rsid w:val="42D87D4E"/>
    <w:rsid w:val="42D92A2D"/>
    <w:rsid w:val="42E576E1"/>
    <w:rsid w:val="42E75546"/>
    <w:rsid w:val="42E958A5"/>
    <w:rsid w:val="42EE4F1B"/>
    <w:rsid w:val="42EE50D1"/>
    <w:rsid w:val="42EE6843"/>
    <w:rsid w:val="42F33E4C"/>
    <w:rsid w:val="42F42F14"/>
    <w:rsid w:val="42F546E2"/>
    <w:rsid w:val="433762E0"/>
    <w:rsid w:val="4338245A"/>
    <w:rsid w:val="433A54D5"/>
    <w:rsid w:val="433C1EEB"/>
    <w:rsid w:val="433D0D2B"/>
    <w:rsid w:val="4346407C"/>
    <w:rsid w:val="434731EA"/>
    <w:rsid w:val="434E5920"/>
    <w:rsid w:val="43656E85"/>
    <w:rsid w:val="436908D8"/>
    <w:rsid w:val="436F6336"/>
    <w:rsid w:val="43701BDE"/>
    <w:rsid w:val="438526E0"/>
    <w:rsid w:val="4388537D"/>
    <w:rsid w:val="4389695C"/>
    <w:rsid w:val="43BF5146"/>
    <w:rsid w:val="43BF7221"/>
    <w:rsid w:val="43C23958"/>
    <w:rsid w:val="43C3122D"/>
    <w:rsid w:val="43C666DD"/>
    <w:rsid w:val="43DA23CF"/>
    <w:rsid w:val="43E6289A"/>
    <w:rsid w:val="43EC10EA"/>
    <w:rsid w:val="43F12542"/>
    <w:rsid w:val="43FB38E0"/>
    <w:rsid w:val="43FD6436"/>
    <w:rsid w:val="43FE0303"/>
    <w:rsid w:val="440118E6"/>
    <w:rsid w:val="44057616"/>
    <w:rsid w:val="44112320"/>
    <w:rsid w:val="441263CE"/>
    <w:rsid w:val="441D021C"/>
    <w:rsid w:val="44265486"/>
    <w:rsid w:val="442F7CF2"/>
    <w:rsid w:val="443F7A90"/>
    <w:rsid w:val="444965CB"/>
    <w:rsid w:val="445115A6"/>
    <w:rsid w:val="4460260E"/>
    <w:rsid w:val="446979B8"/>
    <w:rsid w:val="44767BF0"/>
    <w:rsid w:val="447B1075"/>
    <w:rsid w:val="447D138B"/>
    <w:rsid w:val="448218BF"/>
    <w:rsid w:val="44890886"/>
    <w:rsid w:val="448F0718"/>
    <w:rsid w:val="44944D97"/>
    <w:rsid w:val="449F6876"/>
    <w:rsid w:val="44A439FD"/>
    <w:rsid w:val="44A65701"/>
    <w:rsid w:val="44BA3ABA"/>
    <w:rsid w:val="44BD254C"/>
    <w:rsid w:val="44C94BE6"/>
    <w:rsid w:val="44CA43F6"/>
    <w:rsid w:val="44CC32F9"/>
    <w:rsid w:val="44DC44FB"/>
    <w:rsid w:val="44F1479E"/>
    <w:rsid w:val="45036B39"/>
    <w:rsid w:val="452B7DC1"/>
    <w:rsid w:val="452F34C0"/>
    <w:rsid w:val="45344FEF"/>
    <w:rsid w:val="45383889"/>
    <w:rsid w:val="45407349"/>
    <w:rsid w:val="454607EE"/>
    <w:rsid w:val="454C7C49"/>
    <w:rsid w:val="455A707D"/>
    <w:rsid w:val="456964E2"/>
    <w:rsid w:val="457022D9"/>
    <w:rsid w:val="4574703B"/>
    <w:rsid w:val="45786F1B"/>
    <w:rsid w:val="4583410C"/>
    <w:rsid w:val="458E269D"/>
    <w:rsid w:val="459008BC"/>
    <w:rsid w:val="45903650"/>
    <w:rsid w:val="459A0413"/>
    <w:rsid w:val="459A7283"/>
    <w:rsid w:val="45A474FD"/>
    <w:rsid w:val="45A656D1"/>
    <w:rsid w:val="45B10941"/>
    <w:rsid w:val="45BA3139"/>
    <w:rsid w:val="45CB0D0F"/>
    <w:rsid w:val="45CF5499"/>
    <w:rsid w:val="45D16BCE"/>
    <w:rsid w:val="45D4473F"/>
    <w:rsid w:val="45DF2EF9"/>
    <w:rsid w:val="45E67E61"/>
    <w:rsid w:val="45F41562"/>
    <w:rsid w:val="45F656CC"/>
    <w:rsid w:val="45F745A4"/>
    <w:rsid w:val="45FA0304"/>
    <w:rsid w:val="46051B4F"/>
    <w:rsid w:val="460927E6"/>
    <w:rsid w:val="460930B5"/>
    <w:rsid w:val="46111940"/>
    <w:rsid w:val="461314FD"/>
    <w:rsid w:val="461F516B"/>
    <w:rsid w:val="4625691E"/>
    <w:rsid w:val="4636302B"/>
    <w:rsid w:val="46481E9E"/>
    <w:rsid w:val="464B4741"/>
    <w:rsid w:val="46517C73"/>
    <w:rsid w:val="4666417F"/>
    <w:rsid w:val="467240D8"/>
    <w:rsid w:val="46783549"/>
    <w:rsid w:val="467A1F07"/>
    <w:rsid w:val="468F3B85"/>
    <w:rsid w:val="46C103C7"/>
    <w:rsid w:val="46C2064E"/>
    <w:rsid w:val="46C47BCD"/>
    <w:rsid w:val="46DE62B6"/>
    <w:rsid w:val="46E40DCA"/>
    <w:rsid w:val="46E93117"/>
    <w:rsid w:val="46EB6860"/>
    <w:rsid w:val="46F00B40"/>
    <w:rsid w:val="46FF432E"/>
    <w:rsid w:val="47080278"/>
    <w:rsid w:val="470D284B"/>
    <w:rsid w:val="471541F7"/>
    <w:rsid w:val="471A6994"/>
    <w:rsid w:val="471E284F"/>
    <w:rsid w:val="473A16B0"/>
    <w:rsid w:val="47415B8C"/>
    <w:rsid w:val="47466BEC"/>
    <w:rsid w:val="474B40A4"/>
    <w:rsid w:val="474B6539"/>
    <w:rsid w:val="47526A08"/>
    <w:rsid w:val="47583488"/>
    <w:rsid w:val="475A72AE"/>
    <w:rsid w:val="475D124F"/>
    <w:rsid w:val="475F67E1"/>
    <w:rsid w:val="47753C8C"/>
    <w:rsid w:val="4786726E"/>
    <w:rsid w:val="479A26BF"/>
    <w:rsid w:val="479E36A2"/>
    <w:rsid w:val="47A861A7"/>
    <w:rsid w:val="47AC4E1E"/>
    <w:rsid w:val="47B60149"/>
    <w:rsid w:val="47BB68BE"/>
    <w:rsid w:val="47C84024"/>
    <w:rsid w:val="47CD39F7"/>
    <w:rsid w:val="47D00095"/>
    <w:rsid w:val="47F01D40"/>
    <w:rsid w:val="47FD57CA"/>
    <w:rsid w:val="480D7A44"/>
    <w:rsid w:val="480E1FDD"/>
    <w:rsid w:val="480E4C89"/>
    <w:rsid w:val="48245BF7"/>
    <w:rsid w:val="482A6AD9"/>
    <w:rsid w:val="482F217F"/>
    <w:rsid w:val="48312C49"/>
    <w:rsid w:val="48387357"/>
    <w:rsid w:val="483F7E48"/>
    <w:rsid w:val="4848464A"/>
    <w:rsid w:val="48496F13"/>
    <w:rsid w:val="484E7BBC"/>
    <w:rsid w:val="484F4336"/>
    <w:rsid w:val="48536C67"/>
    <w:rsid w:val="48575677"/>
    <w:rsid w:val="485D520F"/>
    <w:rsid w:val="48645CB0"/>
    <w:rsid w:val="48673D41"/>
    <w:rsid w:val="4880534E"/>
    <w:rsid w:val="48935DBD"/>
    <w:rsid w:val="48A36EA2"/>
    <w:rsid w:val="48B411AC"/>
    <w:rsid w:val="48BC3E44"/>
    <w:rsid w:val="48CF2936"/>
    <w:rsid w:val="48D06638"/>
    <w:rsid w:val="48D2641F"/>
    <w:rsid w:val="48D72AA4"/>
    <w:rsid w:val="48E67B36"/>
    <w:rsid w:val="48E86D71"/>
    <w:rsid w:val="48EF328A"/>
    <w:rsid w:val="48F01AEB"/>
    <w:rsid w:val="49077E9E"/>
    <w:rsid w:val="490A5B97"/>
    <w:rsid w:val="490B27BB"/>
    <w:rsid w:val="491002B6"/>
    <w:rsid w:val="4914536F"/>
    <w:rsid w:val="491D2650"/>
    <w:rsid w:val="492B507F"/>
    <w:rsid w:val="492D1DDE"/>
    <w:rsid w:val="493614B0"/>
    <w:rsid w:val="493C7A8C"/>
    <w:rsid w:val="49410A24"/>
    <w:rsid w:val="494857B7"/>
    <w:rsid w:val="494C24B0"/>
    <w:rsid w:val="494E63B6"/>
    <w:rsid w:val="49695C63"/>
    <w:rsid w:val="496D5B7F"/>
    <w:rsid w:val="496F31AF"/>
    <w:rsid w:val="498E3205"/>
    <w:rsid w:val="498F48ED"/>
    <w:rsid w:val="49937027"/>
    <w:rsid w:val="49970E17"/>
    <w:rsid w:val="499F4EF7"/>
    <w:rsid w:val="49A40D7A"/>
    <w:rsid w:val="49A441F8"/>
    <w:rsid w:val="49A63F8D"/>
    <w:rsid w:val="49A65DF7"/>
    <w:rsid w:val="49AA60C1"/>
    <w:rsid w:val="49C13C1C"/>
    <w:rsid w:val="49C3746D"/>
    <w:rsid w:val="49CF7BFD"/>
    <w:rsid w:val="49D3335B"/>
    <w:rsid w:val="4A100063"/>
    <w:rsid w:val="4A1C6CB2"/>
    <w:rsid w:val="4A1E3935"/>
    <w:rsid w:val="4A233794"/>
    <w:rsid w:val="4A25663F"/>
    <w:rsid w:val="4A316551"/>
    <w:rsid w:val="4A370ACB"/>
    <w:rsid w:val="4A534060"/>
    <w:rsid w:val="4A577272"/>
    <w:rsid w:val="4A5E0E51"/>
    <w:rsid w:val="4A643048"/>
    <w:rsid w:val="4A6A0409"/>
    <w:rsid w:val="4A6D57C0"/>
    <w:rsid w:val="4A6E29BE"/>
    <w:rsid w:val="4A737F56"/>
    <w:rsid w:val="4A752B39"/>
    <w:rsid w:val="4A7F7333"/>
    <w:rsid w:val="4A8A2AC5"/>
    <w:rsid w:val="4A8C6B66"/>
    <w:rsid w:val="4AB04074"/>
    <w:rsid w:val="4ABA7B9F"/>
    <w:rsid w:val="4AC550CD"/>
    <w:rsid w:val="4AC673F5"/>
    <w:rsid w:val="4AC8143E"/>
    <w:rsid w:val="4AD25391"/>
    <w:rsid w:val="4ADE111E"/>
    <w:rsid w:val="4ADF495F"/>
    <w:rsid w:val="4AE11F68"/>
    <w:rsid w:val="4AE14E10"/>
    <w:rsid w:val="4AE467D4"/>
    <w:rsid w:val="4AF53FC1"/>
    <w:rsid w:val="4B047819"/>
    <w:rsid w:val="4B0906B0"/>
    <w:rsid w:val="4B0A2833"/>
    <w:rsid w:val="4B0E4906"/>
    <w:rsid w:val="4B1102E4"/>
    <w:rsid w:val="4B1D10D9"/>
    <w:rsid w:val="4B322F06"/>
    <w:rsid w:val="4B4C6B69"/>
    <w:rsid w:val="4B4F67F4"/>
    <w:rsid w:val="4B59693F"/>
    <w:rsid w:val="4B5A21BE"/>
    <w:rsid w:val="4B616382"/>
    <w:rsid w:val="4B6E0395"/>
    <w:rsid w:val="4B762E3C"/>
    <w:rsid w:val="4B7C70D6"/>
    <w:rsid w:val="4B825943"/>
    <w:rsid w:val="4B8B7457"/>
    <w:rsid w:val="4B911213"/>
    <w:rsid w:val="4B9C5997"/>
    <w:rsid w:val="4BA6078E"/>
    <w:rsid w:val="4BAF5EFB"/>
    <w:rsid w:val="4BBC2993"/>
    <w:rsid w:val="4BBD20C4"/>
    <w:rsid w:val="4BD17F6C"/>
    <w:rsid w:val="4BD95228"/>
    <w:rsid w:val="4BDF09C0"/>
    <w:rsid w:val="4BE204A5"/>
    <w:rsid w:val="4BE555A3"/>
    <w:rsid w:val="4BF00FDC"/>
    <w:rsid w:val="4BF30667"/>
    <w:rsid w:val="4BF74ED8"/>
    <w:rsid w:val="4BFF7567"/>
    <w:rsid w:val="4C037DED"/>
    <w:rsid w:val="4C0675CE"/>
    <w:rsid w:val="4C0902D0"/>
    <w:rsid w:val="4C0C384A"/>
    <w:rsid w:val="4C0E31B8"/>
    <w:rsid w:val="4C0E7DCB"/>
    <w:rsid w:val="4C135FF8"/>
    <w:rsid w:val="4C1764AE"/>
    <w:rsid w:val="4C1C34EB"/>
    <w:rsid w:val="4C307E7C"/>
    <w:rsid w:val="4C3124E0"/>
    <w:rsid w:val="4C55337B"/>
    <w:rsid w:val="4C747FD4"/>
    <w:rsid w:val="4C8E10BF"/>
    <w:rsid w:val="4C9F39BE"/>
    <w:rsid w:val="4CA050E3"/>
    <w:rsid w:val="4CAD5597"/>
    <w:rsid w:val="4CB56CBB"/>
    <w:rsid w:val="4CBB2A4F"/>
    <w:rsid w:val="4CBF5CB0"/>
    <w:rsid w:val="4CC173B9"/>
    <w:rsid w:val="4CC85F1B"/>
    <w:rsid w:val="4CD174D7"/>
    <w:rsid w:val="4CDC64EB"/>
    <w:rsid w:val="4CEE44C7"/>
    <w:rsid w:val="4CEE61E7"/>
    <w:rsid w:val="4CF678FA"/>
    <w:rsid w:val="4D09383B"/>
    <w:rsid w:val="4D1971E1"/>
    <w:rsid w:val="4D2038DB"/>
    <w:rsid w:val="4D3029B6"/>
    <w:rsid w:val="4D343765"/>
    <w:rsid w:val="4D3C4892"/>
    <w:rsid w:val="4D45658C"/>
    <w:rsid w:val="4D59222C"/>
    <w:rsid w:val="4D5A34F5"/>
    <w:rsid w:val="4D644E80"/>
    <w:rsid w:val="4D793969"/>
    <w:rsid w:val="4D876303"/>
    <w:rsid w:val="4D8A3184"/>
    <w:rsid w:val="4D8D636E"/>
    <w:rsid w:val="4D915F63"/>
    <w:rsid w:val="4D9A74D3"/>
    <w:rsid w:val="4DAE09C3"/>
    <w:rsid w:val="4DAF1D9A"/>
    <w:rsid w:val="4DC33C6A"/>
    <w:rsid w:val="4DD52ABB"/>
    <w:rsid w:val="4DD73812"/>
    <w:rsid w:val="4DDC141C"/>
    <w:rsid w:val="4DE27EAA"/>
    <w:rsid w:val="4DEF149C"/>
    <w:rsid w:val="4DF41754"/>
    <w:rsid w:val="4DF958F8"/>
    <w:rsid w:val="4E060933"/>
    <w:rsid w:val="4E0E1D70"/>
    <w:rsid w:val="4E0F02B7"/>
    <w:rsid w:val="4E18189A"/>
    <w:rsid w:val="4E1D1467"/>
    <w:rsid w:val="4E1E12D5"/>
    <w:rsid w:val="4E287553"/>
    <w:rsid w:val="4E335DF3"/>
    <w:rsid w:val="4E3C224B"/>
    <w:rsid w:val="4E415881"/>
    <w:rsid w:val="4E4243DC"/>
    <w:rsid w:val="4E437937"/>
    <w:rsid w:val="4E4575BD"/>
    <w:rsid w:val="4E464F00"/>
    <w:rsid w:val="4E49494B"/>
    <w:rsid w:val="4E4D7F12"/>
    <w:rsid w:val="4E51019B"/>
    <w:rsid w:val="4E6E6E67"/>
    <w:rsid w:val="4E7322AF"/>
    <w:rsid w:val="4E9C3915"/>
    <w:rsid w:val="4EA60558"/>
    <w:rsid w:val="4EA9308B"/>
    <w:rsid w:val="4EAE0A98"/>
    <w:rsid w:val="4EAF3667"/>
    <w:rsid w:val="4EB40929"/>
    <w:rsid w:val="4EBF389A"/>
    <w:rsid w:val="4ED46FDC"/>
    <w:rsid w:val="4EE33F05"/>
    <w:rsid w:val="4EE421D5"/>
    <w:rsid w:val="4EE42A71"/>
    <w:rsid w:val="4EEA1383"/>
    <w:rsid w:val="4EF25F2E"/>
    <w:rsid w:val="4F1425DB"/>
    <w:rsid w:val="4F152983"/>
    <w:rsid w:val="4F1E7706"/>
    <w:rsid w:val="4F21543B"/>
    <w:rsid w:val="4F2C2030"/>
    <w:rsid w:val="4F382C48"/>
    <w:rsid w:val="4F383F06"/>
    <w:rsid w:val="4F456E75"/>
    <w:rsid w:val="4F481089"/>
    <w:rsid w:val="4F6416B7"/>
    <w:rsid w:val="4F6E3716"/>
    <w:rsid w:val="4F7051D8"/>
    <w:rsid w:val="4F79486D"/>
    <w:rsid w:val="4F7D163B"/>
    <w:rsid w:val="4F8861C3"/>
    <w:rsid w:val="4F9066D0"/>
    <w:rsid w:val="4F947177"/>
    <w:rsid w:val="4FB93D28"/>
    <w:rsid w:val="4FC1278F"/>
    <w:rsid w:val="4FC135B8"/>
    <w:rsid w:val="4FC6357E"/>
    <w:rsid w:val="4FC66DA0"/>
    <w:rsid w:val="4FC66F64"/>
    <w:rsid w:val="4FD722EE"/>
    <w:rsid w:val="4FDD2DEA"/>
    <w:rsid w:val="4FE42EED"/>
    <w:rsid w:val="4FE57663"/>
    <w:rsid w:val="4FED14AA"/>
    <w:rsid w:val="4FF04A4A"/>
    <w:rsid w:val="4FFD05E3"/>
    <w:rsid w:val="50022B70"/>
    <w:rsid w:val="5002501D"/>
    <w:rsid w:val="50094D73"/>
    <w:rsid w:val="501759D8"/>
    <w:rsid w:val="501B28DA"/>
    <w:rsid w:val="501D14F5"/>
    <w:rsid w:val="502F60D1"/>
    <w:rsid w:val="50342B76"/>
    <w:rsid w:val="503469BB"/>
    <w:rsid w:val="503E34AB"/>
    <w:rsid w:val="503E37F6"/>
    <w:rsid w:val="50473BE6"/>
    <w:rsid w:val="50492544"/>
    <w:rsid w:val="50493772"/>
    <w:rsid w:val="504D77E8"/>
    <w:rsid w:val="50551EA9"/>
    <w:rsid w:val="508E59D1"/>
    <w:rsid w:val="50903BE8"/>
    <w:rsid w:val="50907AE4"/>
    <w:rsid w:val="50957FBE"/>
    <w:rsid w:val="50AB1568"/>
    <w:rsid w:val="50B30C0A"/>
    <w:rsid w:val="50B633C7"/>
    <w:rsid w:val="50BC16ED"/>
    <w:rsid w:val="50BD42C6"/>
    <w:rsid w:val="50C45232"/>
    <w:rsid w:val="50C51D79"/>
    <w:rsid w:val="50D30E43"/>
    <w:rsid w:val="50D46579"/>
    <w:rsid w:val="50DD7010"/>
    <w:rsid w:val="50DE4288"/>
    <w:rsid w:val="50E57F77"/>
    <w:rsid w:val="50E65242"/>
    <w:rsid w:val="50F32905"/>
    <w:rsid w:val="50F63538"/>
    <w:rsid w:val="50FF1BD7"/>
    <w:rsid w:val="510128D5"/>
    <w:rsid w:val="5107016F"/>
    <w:rsid w:val="51157303"/>
    <w:rsid w:val="512A28AD"/>
    <w:rsid w:val="51383C6A"/>
    <w:rsid w:val="513C724C"/>
    <w:rsid w:val="513D7919"/>
    <w:rsid w:val="513E33B7"/>
    <w:rsid w:val="514D2279"/>
    <w:rsid w:val="514E6DE1"/>
    <w:rsid w:val="515870AC"/>
    <w:rsid w:val="515F7A48"/>
    <w:rsid w:val="516505EF"/>
    <w:rsid w:val="51655BDB"/>
    <w:rsid w:val="518E3F9E"/>
    <w:rsid w:val="51960418"/>
    <w:rsid w:val="5199266A"/>
    <w:rsid w:val="519E0C7B"/>
    <w:rsid w:val="51A41584"/>
    <w:rsid w:val="51A4776B"/>
    <w:rsid w:val="51B537A8"/>
    <w:rsid w:val="51B73E10"/>
    <w:rsid w:val="51B95A7E"/>
    <w:rsid w:val="51BF67E7"/>
    <w:rsid w:val="51DA0BDC"/>
    <w:rsid w:val="51E4053A"/>
    <w:rsid w:val="51E748F1"/>
    <w:rsid w:val="51E94F9E"/>
    <w:rsid w:val="520C218E"/>
    <w:rsid w:val="52117444"/>
    <w:rsid w:val="52217CDB"/>
    <w:rsid w:val="5237209B"/>
    <w:rsid w:val="523E0931"/>
    <w:rsid w:val="52454DCC"/>
    <w:rsid w:val="52536FBC"/>
    <w:rsid w:val="52637BBA"/>
    <w:rsid w:val="527F092D"/>
    <w:rsid w:val="52831DE3"/>
    <w:rsid w:val="52904060"/>
    <w:rsid w:val="52905B13"/>
    <w:rsid w:val="52927A5D"/>
    <w:rsid w:val="529923C8"/>
    <w:rsid w:val="529A0D91"/>
    <w:rsid w:val="52A50662"/>
    <w:rsid w:val="52AD5688"/>
    <w:rsid w:val="52AD658D"/>
    <w:rsid w:val="52B40A40"/>
    <w:rsid w:val="52B53E76"/>
    <w:rsid w:val="52BA04EC"/>
    <w:rsid w:val="52C81CDC"/>
    <w:rsid w:val="52D00909"/>
    <w:rsid w:val="52D7048F"/>
    <w:rsid w:val="52E12E5C"/>
    <w:rsid w:val="52E314A4"/>
    <w:rsid w:val="52E924A8"/>
    <w:rsid w:val="52ED5EF2"/>
    <w:rsid w:val="52F816E5"/>
    <w:rsid w:val="52F82839"/>
    <w:rsid w:val="52FE0524"/>
    <w:rsid w:val="530C27CF"/>
    <w:rsid w:val="53132194"/>
    <w:rsid w:val="531517C8"/>
    <w:rsid w:val="532D4EA6"/>
    <w:rsid w:val="533B2BB3"/>
    <w:rsid w:val="53514487"/>
    <w:rsid w:val="535E0361"/>
    <w:rsid w:val="53662428"/>
    <w:rsid w:val="537613C0"/>
    <w:rsid w:val="538A5797"/>
    <w:rsid w:val="538B4D53"/>
    <w:rsid w:val="538C2F68"/>
    <w:rsid w:val="539C07A0"/>
    <w:rsid w:val="53A401C6"/>
    <w:rsid w:val="53B60137"/>
    <w:rsid w:val="53BA1879"/>
    <w:rsid w:val="53C71BC7"/>
    <w:rsid w:val="53CC144F"/>
    <w:rsid w:val="53CC3695"/>
    <w:rsid w:val="53D41F6D"/>
    <w:rsid w:val="53EA12FD"/>
    <w:rsid w:val="53EF49B2"/>
    <w:rsid w:val="53FA52BF"/>
    <w:rsid w:val="53FD30D3"/>
    <w:rsid w:val="540873CD"/>
    <w:rsid w:val="54094B89"/>
    <w:rsid w:val="540B314D"/>
    <w:rsid w:val="540D28DF"/>
    <w:rsid w:val="54204707"/>
    <w:rsid w:val="5427279E"/>
    <w:rsid w:val="54364771"/>
    <w:rsid w:val="543A21DD"/>
    <w:rsid w:val="545570F1"/>
    <w:rsid w:val="5465599B"/>
    <w:rsid w:val="547B0AC2"/>
    <w:rsid w:val="547C2445"/>
    <w:rsid w:val="54822BB1"/>
    <w:rsid w:val="54865468"/>
    <w:rsid w:val="54935938"/>
    <w:rsid w:val="549374B1"/>
    <w:rsid w:val="549459EF"/>
    <w:rsid w:val="54963B09"/>
    <w:rsid w:val="549B4426"/>
    <w:rsid w:val="549D211C"/>
    <w:rsid w:val="54A12FCC"/>
    <w:rsid w:val="54B23DCF"/>
    <w:rsid w:val="54B645CE"/>
    <w:rsid w:val="54C61365"/>
    <w:rsid w:val="54C62B58"/>
    <w:rsid w:val="54CB5C4F"/>
    <w:rsid w:val="54CD1D2A"/>
    <w:rsid w:val="54D21177"/>
    <w:rsid w:val="54D31978"/>
    <w:rsid w:val="54DF7644"/>
    <w:rsid w:val="54E600FA"/>
    <w:rsid w:val="54F21C27"/>
    <w:rsid w:val="54F367F6"/>
    <w:rsid w:val="54FE3048"/>
    <w:rsid w:val="55053A0B"/>
    <w:rsid w:val="550A2EF7"/>
    <w:rsid w:val="550F7510"/>
    <w:rsid w:val="55215E17"/>
    <w:rsid w:val="55306036"/>
    <w:rsid w:val="55365E67"/>
    <w:rsid w:val="553962D0"/>
    <w:rsid w:val="553B0012"/>
    <w:rsid w:val="55490876"/>
    <w:rsid w:val="557200B4"/>
    <w:rsid w:val="558B26E1"/>
    <w:rsid w:val="558F3461"/>
    <w:rsid w:val="55A176DC"/>
    <w:rsid w:val="55A8066A"/>
    <w:rsid w:val="55A9293A"/>
    <w:rsid w:val="55AC3575"/>
    <w:rsid w:val="55AF1E43"/>
    <w:rsid w:val="55BC3B9A"/>
    <w:rsid w:val="55C017F8"/>
    <w:rsid w:val="55C04DFF"/>
    <w:rsid w:val="55C10D3F"/>
    <w:rsid w:val="55C76DCB"/>
    <w:rsid w:val="55D15396"/>
    <w:rsid w:val="55DF0452"/>
    <w:rsid w:val="55E708CA"/>
    <w:rsid w:val="55F02908"/>
    <w:rsid w:val="56063F85"/>
    <w:rsid w:val="56127BBD"/>
    <w:rsid w:val="561F2496"/>
    <w:rsid w:val="5627421D"/>
    <w:rsid w:val="563520F8"/>
    <w:rsid w:val="56353013"/>
    <w:rsid w:val="563650EB"/>
    <w:rsid w:val="56410432"/>
    <w:rsid w:val="5659302A"/>
    <w:rsid w:val="565E1151"/>
    <w:rsid w:val="567D4F37"/>
    <w:rsid w:val="56922176"/>
    <w:rsid w:val="56961AA7"/>
    <w:rsid w:val="569A075B"/>
    <w:rsid w:val="569E7B17"/>
    <w:rsid w:val="56A42E6A"/>
    <w:rsid w:val="56A7065E"/>
    <w:rsid w:val="56B22127"/>
    <w:rsid w:val="56B63924"/>
    <w:rsid w:val="56B74428"/>
    <w:rsid w:val="56BA6FF6"/>
    <w:rsid w:val="56C001C8"/>
    <w:rsid w:val="56C71151"/>
    <w:rsid w:val="56CE2616"/>
    <w:rsid w:val="56DA0187"/>
    <w:rsid w:val="56F51D9D"/>
    <w:rsid w:val="56FA72BE"/>
    <w:rsid w:val="56FD1FA7"/>
    <w:rsid w:val="570010E5"/>
    <w:rsid w:val="57041F6D"/>
    <w:rsid w:val="5704458D"/>
    <w:rsid w:val="570705DB"/>
    <w:rsid w:val="570C465C"/>
    <w:rsid w:val="570E09FD"/>
    <w:rsid w:val="57273577"/>
    <w:rsid w:val="573344F6"/>
    <w:rsid w:val="57446945"/>
    <w:rsid w:val="575719D5"/>
    <w:rsid w:val="576816EE"/>
    <w:rsid w:val="577170BC"/>
    <w:rsid w:val="57777891"/>
    <w:rsid w:val="577D4D01"/>
    <w:rsid w:val="578D0154"/>
    <w:rsid w:val="578E096E"/>
    <w:rsid w:val="57903350"/>
    <w:rsid w:val="579450B3"/>
    <w:rsid w:val="57967E17"/>
    <w:rsid w:val="57983E75"/>
    <w:rsid w:val="57A44EB3"/>
    <w:rsid w:val="57AF5338"/>
    <w:rsid w:val="57B83C73"/>
    <w:rsid w:val="57DE23A4"/>
    <w:rsid w:val="57DE7B1B"/>
    <w:rsid w:val="57F60BDC"/>
    <w:rsid w:val="57F92D72"/>
    <w:rsid w:val="57FB60E9"/>
    <w:rsid w:val="580112A5"/>
    <w:rsid w:val="581837D3"/>
    <w:rsid w:val="58224075"/>
    <w:rsid w:val="58232224"/>
    <w:rsid w:val="582A4631"/>
    <w:rsid w:val="582D5399"/>
    <w:rsid w:val="58331A46"/>
    <w:rsid w:val="583A4F1D"/>
    <w:rsid w:val="58454B6E"/>
    <w:rsid w:val="58496ABB"/>
    <w:rsid w:val="584A186B"/>
    <w:rsid w:val="584A7507"/>
    <w:rsid w:val="584F2763"/>
    <w:rsid w:val="58577273"/>
    <w:rsid w:val="586A21EA"/>
    <w:rsid w:val="588C31B0"/>
    <w:rsid w:val="58A615A5"/>
    <w:rsid w:val="58A664B4"/>
    <w:rsid w:val="58A9194C"/>
    <w:rsid w:val="58AE2E1E"/>
    <w:rsid w:val="58AF44EB"/>
    <w:rsid w:val="58B74C78"/>
    <w:rsid w:val="58C26E4E"/>
    <w:rsid w:val="58C4781B"/>
    <w:rsid w:val="58D046EE"/>
    <w:rsid w:val="58D90818"/>
    <w:rsid w:val="58DC7983"/>
    <w:rsid w:val="58DD23B8"/>
    <w:rsid w:val="58F80D45"/>
    <w:rsid w:val="58F8360B"/>
    <w:rsid w:val="58F92F2B"/>
    <w:rsid w:val="590B5379"/>
    <w:rsid w:val="59147699"/>
    <w:rsid w:val="59182A68"/>
    <w:rsid w:val="591E1CF6"/>
    <w:rsid w:val="591F7B01"/>
    <w:rsid w:val="59314732"/>
    <w:rsid w:val="59411C23"/>
    <w:rsid w:val="5959779D"/>
    <w:rsid w:val="595F2E94"/>
    <w:rsid w:val="59692AF5"/>
    <w:rsid w:val="59734EF0"/>
    <w:rsid w:val="59770D8E"/>
    <w:rsid w:val="597B6782"/>
    <w:rsid w:val="597E75D1"/>
    <w:rsid w:val="59846F6B"/>
    <w:rsid w:val="598E7D64"/>
    <w:rsid w:val="599237BE"/>
    <w:rsid w:val="599C4762"/>
    <w:rsid w:val="59A44CCC"/>
    <w:rsid w:val="59AA2058"/>
    <w:rsid w:val="59BA261A"/>
    <w:rsid w:val="59BF4271"/>
    <w:rsid w:val="59C13340"/>
    <w:rsid w:val="59CE3A4E"/>
    <w:rsid w:val="59CF596E"/>
    <w:rsid w:val="59D324F8"/>
    <w:rsid w:val="59FE381D"/>
    <w:rsid w:val="5A0A4179"/>
    <w:rsid w:val="5A0C4C19"/>
    <w:rsid w:val="5A133D60"/>
    <w:rsid w:val="5A192C6E"/>
    <w:rsid w:val="5A1A793C"/>
    <w:rsid w:val="5A2028A1"/>
    <w:rsid w:val="5A246ACA"/>
    <w:rsid w:val="5A2A6479"/>
    <w:rsid w:val="5A33672A"/>
    <w:rsid w:val="5A416A9F"/>
    <w:rsid w:val="5A467009"/>
    <w:rsid w:val="5A6707F7"/>
    <w:rsid w:val="5A7D16D3"/>
    <w:rsid w:val="5A867E27"/>
    <w:rsid w:val="5A8B091A"/>
    <w:rsid w:val="5A916FFC"/>
    <w:rsid w:val="5A970423"/>
    <w:rsid w:val="5A9C7675"/>
    <w:rsid w:val="5AAE7F92"/>
    <w:rsid w:val="5ABC1261"/>
    <w:rsid w:val="5ACB5234"/>
    <w:rsid w:val="5ACC17FB"/>
    <w:rsid w:val="5ACC4F73"/>
    <w:rsid w:val="5ACC603E"/>
    <w:rsid w:val="5AD03DC8"/>
    <w:rsid w:val="5AD133E2"/>
    <w:rsid w:val="5AE2644A"/>
    <w:rsid w:val="5AE76244"/>
    <w:rsid w:val="5AEB4D95"/>
    <w:rsid w:val="5AEE10CF"/>
    <w:rsid w:val="5AFC2D50"/>
    <w:rsid w:val="5AFC3A30"/>
    <w:rsid w:val="5AFF0340"/>
    <w:rsid w:val="5AFF25D0"/>
    <w:rsid w:val="5B053AA2"/>
    <w:rsid w:val="5B262CA4"/>
    <w:rsid w:val="5B2D21BD"/>
    <w:rsid w:val="5B345184"/>
    <w:rsid w:val="5B3C4687"/>
    <w:rsid w:val="5B3D045E"/>
    <w:rsid w:val="5B3E14A3"/>
    <w:rsid w:val="5B46754A"/>
    <w:rsid w:val="5B4A7E2E"/>
    <w:rsid w:val="5B4F6889"/>
    <w:rsid w:val="5B552D84"/>
    <w:rsid w:val="5B5B6858"/>
    <w:rsid w:val="5B613D25"/>
    <w:rsid w:val="5B6B60B8"/>
    <w:rsid w:val="5B810432"/>
    <w:rsid w:val="5B832051"/>
    <w:rsid w:val="5B87139A"/>
    <w:rsid w:val="5B874C44"/>
    <w:rsid w:val="5B8931CC"/>
    <w:rsid w:val="5B98411D"/>
    <w:rsid w:val="5BD9702E"/>
    <w:rsid w:val="5BDB3375"/>
    <w:rsid w:val="5BEB14F2"/>
    <w:rsid w:val="5C036D68"/>
    <w:rsid w:val="5C07266B"/>
    <w:rsid w:val="5C0F5C5E"/>
    <w:rsid w:val="5C111A23"/>
    <w:rsid w:val="5C1B5EA3"/>
    <w:rsid w:val="5C1D524A"/>
    <w:rsid w:val="5C20741A"/>
    <w:rsid w:val="5C274C93"/>
    <w:rsid w:val="5C2C26AA"/>
    <w:rsid w:val="5C324D09"/>
    <w:rsid w:val="5C4836D0"/>
    <w:rsid w:val="5C4A41B3"/>
    <w:rsid w:val="5C4F3BEE"/>
    <w:rsid w:val="5C4F5532"/>
    <w:rsid w:val="5C5B6A9B"/>
    <w:rsid w:val="5C5F0925"/>
    <w:rsid w:val="5C670E64"/>
    <w:rsid w:val="5C67386C"/>
    <w:rsid w:val="5C6772E0"/>
    <w:rsid w:val="5C6A3B01"/>
    <w:rsid w:val="5C6B19CE"/>
    <w:rsid w:val="5C817120"/>
    <w:rsid w:val="5C8460CC"/>
    <w:rsid w:val="5C85532E"/>
    <w:rsid w:val="5C930F27"/>
    <w:rsid w:val="5C937734"/>
    <w:rsid w:val="5CAE3326"/>
    <w:rsid w:val="5CB00D56"/>
    <w:rsid w:val="5CB9735D"/>
    <w:rsid w:val="5CBA1D3A"/>
    <w:rsid w:val="5CBA6EB3"/>
    <w:rsid w:val="5CBB6898"/>
    <w:rsid w:val="5CC12C99"/>
    <w:rsid w:val="5CC22A6E"/>
    <w:rsid w:val="5CD562CC"/>
    <w:rsid w:val="5CE87949"/>
    <w:rsid w:val="5CED2E77"/>
    <w:rsid w:val="5CEF2175"/>
    <w:rsid w:val="5CF97969"/>
    <w:rsid w:val="5D035A25"/>
    <w:rsid w:val="5D0B4862"/>
    <w:rsid w:val="5D1240AE"/>
    <w:rsid w:val="5D3324D7"/>
    <w:rsid w:val="5D3B3FC2"/>
    <w:rsid w:val="5D3F277F"/>
    <w:rsid w:val="5D402DD3"/>
    <w:rsid w:val="5D4A32B2"/>
    <w:rsid w:val="5D4D7B5E"/>
    <w:rsid w:val="5D4E3B9F"/>
    <w:rsid w:val="5D5424E6"/>
    <w:rsid w:val="5D59128F"/>
    <w:rsid w:val="5D686AED"/>
    <w:rsid w:val="5D7149EC"/>
    <w:rsid w:val="5D755375"/>
    <w:rsid w:val="5D80374B"/>
    <w:rsid w:val="5D835927"/>
    <w:rsid w:val="5D8660BC"/>
    <w:rsid w:val="5DA73319"/>
    <w:rsid w:val="5DA80DE1"/>
    <w:rsid w:val="5DB032D9"/>
    <w:rsid w:val="5DB037EE"/>
    <w:rsid w:val="5DB61C71"/>
    <w:rsid w:val="5DC6083A"/>
    <w:rsid w:val="5DC869A9"/>
    <w:rsid w:val="5DD225B9"/>
    <w:rsid w:val="5DDB7723"/>
    <w:rsid w:val="5DDD4C8E"/>
    <w:rsid w:val="5DE63230"/>
    <w:rsid w:val="5DE85E1F"/>
    <w:rsid w:val="5DF0255D"/>
    <w:rsid w:val="5DF1785F"/>
    <w:rsid w:val="5DF21E4C"/>
    <w:rsid w:val="5DF55640"/>
    <w:rsid w:val="5DFB2EB7"/>
    <w:rsid w:val="5DFD13E8"/>
    <w:rsid w:val="5E02418C"/>
    <w:rsid w:val="5E0324A0"/>
    <w:rsid w:val="5E043223"/>
    <w:rsid w:val="5E3953B0"/>
    <w:rsid w:val="5E403FF5"/>
    <w:rsid w:val="5E4C36B6"/>
    <w:rsid w:val="5E542849"/>
    <w:rsid w:val="5E547766"/>
    <w:rsid w:val="5E575756"/>
    <w:rsid w:val="5E671FD2"/>
    <w:rsid w:val="5E702017"/>
    <w:rsid w:val="5E8E1765"/>
    <w:rsid w:val="5E906C18"/>
    <w:rsid w:val="5E9C59EF"/>
    <w:rsid w:val="5E9F2F03"/>
    <w:rsid w:val="5EBF517D"/>
    <w:rsid w:val="5ED5780E"/>
    <w:rsid w:val="5ED96F94"/>
    <w:rsid w:val="5EDA5AF6"/>
    <w:rsid w:val="5EE232D0"/>
    <w:rsid w:val="5EF16ADA"/>
    <w:rsid w:val="5EF40099"/>
    <w:rsid w:val="5F055E34"/>
    <w:rsid w:val="5F0D11D5"/>
    <w:rsid w:val="5F152036"/>
    <w:rsid w:val="5F2174BC"/>
    <w:rsid w:val="5F3204F4"/>
    <w:rsid w:val="5F326F61"/>
    <w:rsid w:val="5F346A3D"/>
    <w:rsid w:val="5F3F04F3"/>
    <w:rsid w:val="5F5D4BE3"/>
    <w:rsid w:val="5F622194"/>
    <w:rsid w:val="5F6B7441"/>
    <w:rsid w:val="5F7820CB"/>
    <w:rsid w:val="5F916509"/>
    <w:rsid w:val="5F935061"/>
    <w:rsid w:val="5FA865EF"/>
    <w:rsid w:val="5FB675BA"/>
    <w:rsid w:val="5FB77434"/>
    <w:rsid w:val="5FC317C5"/>
    <w:rsid w:val="5FD22CDC"/>
    <w:rsid w:val="5FD95C03"/>
    <w:rsid w:val="5FDC1264"/>
    <w:rsid w:val="5FE009B3"/>
    <w:rsid w:val="5FE21D8E"/>
    <w:rsid w:val="5FE54197"/>
    <w:rsid w:val="5FF33C31"/>
    <w:rsid w:val="5FF822B0"/>
    <w:rsid w:val="5FF97FF3"/>
    <w:rsid w:val="60027ABF"/>
    <w:rsid w:val="600657CB"/>
    <w:rsid w:val="60090B84"/>
    <w:rsid w:val="600C0E2A"/>
    <w:rsid w:val="600E4239"/>
    <w:rsid w:val="60321D25"/>
    <w:rsid w:val="603240D0"/>
    <w:rsid w:val="60354DAE"/>
    <w:rsid w:val="603B5F4D"/>
    <w:rsid w:val="604753E2"/>
    <w:rsid w:val="606072DA"/>
    <w:rsid w:val="606F5E5E"/>
    <w:rsid w:val="60811F7E"/>
    <w:rsid w:val="60915841"/>
    <w:rsid w:val="60920D7E"/>
    <w:rsid w:val="609E0F68"/>
    <w:rsid w:val="60A2066C"/>
    <w:rsid w:val="60B93F25"/>
    <w:rsid w:val="60C21A11"/>
    <w:rsid w:val="60C23474"/>
    <w:rsid w:val="60C909ED"/>
    <w:rsid w:val="60CE69D6"/>
    <w:rsid w:val="60CF4C8F"/>
    <w:rsid w:val="60DB5A94"/>
    <w:rsid w:val="60E705AB"/>
    <w:rsid w:val="60E86DCB"/>
    <w:rsid w:val="60F322D5"/>
    <w:rsid w:val="60F827BF"/>
    <w:rsid w:val="61091D05"/>
    <w:rsid w:val="611A2248"/>
    <w:rsid w:val="611D4168"/>
    <w:rsid w:val="612C19FC"/>
    <w:rsid w:val="61346A71"/>
    <w:rsid w:val="613B3276"/>
    <w:rsid w:val="613B6C42"/>
    <w:rsid w:val="6143135A"/>
    <w:rsid w:val="61441FAF"/>
    <w:rsid w:val="614C6ABF"/>
    <w:rsid w:val="6157399F"/>
    <w:rsid w:val="61615F59"/>
    <w:rsid w:val="616528FF"/>
    <w:rsid w:val="61673382"/>
    <w:rsid w:val="6169336B"/>
    <w:rsid w:val="616F0BB5"/>
    <w:rsid w:val="617850FE"/>
    <w:rsid w:val="61882AAA"/>
    <w:rsid w:val="618C7F30"/>
    <w:rsid w:val="61912622"/>
    <w:rsid w:val="619429A3"/>
    <w:rsid w:val="619C23FF"/>
    <w:rsid w:val="619C2FB2"/>
    <w:rsid w:val="619F400D"/>
    <w:rsid w:val="61A36EF7"/>
    <w:rsid w:val="61B923F3"/>
    <w:rsid w:val="61C159E9"/>
    <w:rsid w:val="61D71A58"/>
    <w:rsid w:val="61D75EC9"/>
    <w:rsid w:val="61DB16DC"/>
    <w:rsid w:val="61EA341B"/>
    <w:rsid w:val="61F81ED3"/>
    <w:rsid w:val="61FB3DE6"/>
    <w:rsid w:val="62061C14"/>
    <w:rsid w:val="621343A3"/>
    <w:rsid w:val="62164AFD"/>
    <w:rsid w:val="621920A8"/>
    <w:rsid w:val="621A0A6F"/>
    <w:rsid w:val="621C702B"/>
    <w:rsid w:val="6222463C"/>
    <w:rsid w:val="62270398"/>
    <w:rsid w:val="622812C4"/>
    <w:rsid w:val="62312A98"/>
    <w:rsid w:val="62315995"/>
    <w:rsid w:val="62360A7F"/>
    <w:rsid w:val="624A79BE"/>
    <w:rsid w:val="625666CF"/>
    <w:rsid w:val="625741ED"/>
    <w:rsid w:val="62583BE4"/>
    <w:rsid w:val="625E2804"/>
    <w:rsid w:val="6260332B"/>
    <w:rsid w:val="626F2346"/>
    <w:rsid w:val="62716123"/>
    <w:rsid w:val="62775127"/>
    <w:rsid w:val="62780BB6"/>
    <w:rsid w:val="6285108B"/>
    <w:rsid w:val="62852D1B"/>
    <w:rsid w:val="62855577"/>
    <w:rsid w:val="628E0BA3"/>
    <w:rsid w:val="628F3577"/>
    <w:rsid w:val="629735E4"/>
    <w:rsid w:val="629E197F"/>
    <w:rsid w:val="62B46D05"/>
    <w:rsid w:val="62BF11DF"/>
    <w:rsid w:val="62C628AF"/>
    <w:rsid w:val="62C86B2C"/>
    <w:rsid w:val="62E144AD"/>
    <w:rsid w:val="62F706CF"/>
    <w:rsid w:val="62FC3808"/>
    <w:rsid w:val="62FF3974"/>
    <w:rsid w:val="630604B7"/>
    <w:rsid w:val="6309257E"/>
    <w:rsid w:val="630F12B4"/>
    <w:rsid w:val="63175F96"/>
    <w:rsid w:val="631E5932"/>
    <w:rsid w:val="631E6AB1"/>
    <w:rsid w:val="631F1803"/>
    <w:rsid w:val="631F69B7"/>
    <w:rsid w:val="63294A99"/>
    <w:rsid w:val="632F14AC"/>
    <w:rsid w:val="63442292"/>
    <w:rsid w:val="635B786D"/>
    <w:rsid w:val="63611073"/>
    <w:rsid w:val="63691F42"/>
    <w:rsid w:val="63694F82"/>
    <w:rsid w:val="63706FBB"/>
    <w:rsid w:val="63730DAC"/>
    <w:rsid w:val="63784FDE"/>
    <w:rsid w:val="639078FF"/>
    <w:rsid w:val="63A51E67"/>
    <w:rsid w:val="63B61E78"/>
    <w:rsid w:val="63B84C57"/>
    <w:rsid w:val="63BD4511"/>
    <w:rsid w:val="63DD7EB7"/>
    <w:rsid w:val="63E74C92"/>
    <w:rsid w:val="63F30DA8"/>
    <w:rsid w:val="63F33E26"/>
    <w:rsid w:val="63FE1B4A"/>
    <w:rsid w:val="64002E0C"/>
    <w:rsid w:val="64007173"/>
    <w:rsid w:val="64017940"/>
    <w:rsid w:val="640E2C1F"/>
    <w:rsid w:val="64254AC2"/>
    <w:rsid w:val="642D027A"/>
    <w:rsid w:val="64335CF7"/>
    <w:rsid w:val="643564D9"/>
    <w:rsid w:val="643A63B3"/>
    <w:rsid w:val="643F44C4"/>
    <w:rsid w:val="64587BDF"/>
    <w:rsid w:val="645D1704"/>
    <w:rsid w:val="646E3793"/>
    <w:rsid w:val="647A3390"/>
    <w:rsid w:val="647F05F0"/>
    <w:rsid w:val="648B0E90"/>
    <w:rsid w:val="648D1383"/>
    <w:rsid w:val="64922A35"/>
    <w:rsid w:val="64A30500"/>
    <w:rsid w:val="64A6472E"/>
    <w:rsid w:val="64BB236E"/>
    <w:rsid w:val="64C032F6"/>
    <w:rsid w:val="64C41155"/>
    <w:rsid w:val="64CA7568"/>
    <w:rsid w:val="64D23E69"/>
    <w:rsid w:val="64DA7B23"/>
    <w:rsid w:val="64DB48B6"/>
    <w:rsid w:val="64E736ED"/>
    <w:rsid w:val="64EB5CA6"/>
    <w:rsid w:val="64F23D29"/>
    <w:rsid w:val="6500123E"/>
    <w:rsid w:val="6503246A"/>
    <w:rsid w:val="650A374B"/>
    <w:rsid w:val="65267DC3"/>
    <w:rsid w:val="653242A1"/>
    <w:rsid w:val="654E4423"/>
    <w:rsid w:val="654E6F54"/>
    <w:rsid w:val="656D2F29"/>
    <w:rsid w:val="6583784A"/>
    <w:rsid w:val="658A6D41"/>
    <w:rsid w:val="658B14F1"/>
    <w:rsid w:val="65AF2CA9"/>
    <w:rsid w:val="65B944A1"/>
    <w:rsid w:val="65BA6AFB"/>
    <w:rsid w:val="65CE49DC"/>
    <w:rsid w:val="65D05CA1"/>
    <w:rsid w:val="65D21B77"/>
    <w:rsid w:val="65DD7906"/>
    <w:rsid w:val="65E300CE"/>
    <w:rsid w:val="65EB11B2"/>
    <w:rsid w:val="65FD3FFE"/>
    <w:rsid w:val="6603412B"/>
    <w:rsid w:val="660F4461"/>
    <w:rsid w:val="66115155"/>
    <w:rsid w:val="66115188"/>
    <w:rsid w:val="66186D29"/>
    <w:rsid w:val="661C5640"/>
    <w:rsid w:val="66291291"/>
    <w:rsid w:val="662A5DDE"/>
    <w:rsid w:val="66433AEA"/>
    <w:rsid w:val="664B1B60"/>
    <w:rsid w:val="664F2F6E"/>
    <w:rsid w:val="665964A4"/>
    <w:rsid w:val="666D6F81"/>
    <w:rsid w:val="667777DA"/>
    <w:rsid w:val="667805D4"/>
    <w:rsid w:val="667A120E"/>
    <w:rsid w:val="668056EE"/>
    <w:rsid w:val="66845DF8"/>
    <w:rsid w:val="66864CEE"/>
    <w:rsid w:val="668C129A"/>
    <w:rsid w:val="66975912"/>
    <w:rsid w:val="6698425E"/>
    <w:rsid w:val="669C6E29"/>
    <w:rsid w:val="66A662BE"/>
    <w:rsid w:val="66A90DFD"/>
    <w:rsid w:val="66B63B98"/>
    <w:rsid w:val="66B850C6"/>
    <w:rsid w:val="66BC1A5D"/>
    <w:rsid w:val="66C03D5B"/>
    <w:rsid w:val="66D808E7"/>
    <w:rsid w:val="66DE745E"/>
    <w:rsid w:val="66E7644A"/>
    <w:rsid w:val="66EB2629"/>
    <w:rsid w:val="66F0053A"/>
    <w:rsid w:val="66F030F0"/>
    <w:rsid w:val="66F078DC"/>
    <w:rsid w:val="66F523A0"/>
    <w:rsid w:val="6704493C"/>
    <w:rsid w:val="67120D0B"/>
    <w:rsid w:val="671842C0"/>
    <w:rsid w:val="671F40B4"/>
    <w:rsid w:val="67207113"/>
    <w:rsid w:val="672316BC"/>
    <w:rsid w:val="67442B55"/>
    <w:rsid w:val="67515F84"/>
    <w:rsid w:val="6754387B"/>
    <w:rsid w:val="67563C64"/>
    <w:rsid w:val="67641CA6"/>
    <w:rsid w:val="678235F4"/>
    <w:rsid w:val="67887DBD"/>
    <w:rsid w:val="678A36CA"/>
    <w:rsid w:val="679249E6"/>
    <w:rsid w:val="67926A9A"/>
    <w:rsid w:val="67927BA5"/>
    <w:rsid w:val="67936B8C"/>
    <w:rsid w:val="67AE4666"/>
    <w:rsid w:val="67AF7805"/>
    <w:rsid w:val="67B2525E"/>
    <w:rsid w:val="67BA47CA"/>
    <w:rsid w:val="67BA5F8A"/>
    <w:rsid w:val="67C70B88"/>
    <w:rsid w:val="67CD2799"/>
    <w:rsid w:val="67D13B94"/>
    <w:rsid w:val="67E47B3A"/>
    <w:rsid w:val="67E90B66"/>
    <w:rsid w:val="67F04A8D"/>
    <w:rsid w:val="67FF2494"/>
    <w:rsid w:val="68001AE2"/>
    <w:rsid w:val="680547EE"/>
    <w:rsid w:val="68066561"/>
    <w:rsid w:val="68126338"/>
    <w:rsid w:val="68201045"/>
    <w:rsid w:val="68211EC3"/>
    <w:rsid w:val="68216506"/>
    <w:rsid w:val="6824406F"/>
    <w:rsid w:val="682F633B"/>
    <w:rsid w:val="6836671B"/>
    <w:rsid w:val="68383950"/>
    <w:rsid w:val="683C1006"/>
    <w:rsid w:val="68612A3D"/>
    <w:rsid w:val="686430B6"/>
    <w:rsid w:val="686E18DB"/>
    <w:rsid w:val="687A51B6"/>
    <w:rsid w:val="68865837"/>
    <w:rsid w:val="688E350F"/>
    <w:rsid w:val="68931FC8"/>
    <w:rsid w:val="68B07D93"/>
    <w:rsid w:val="68BB6CC2"/>
    <w:rsid w:val="68C64819"/>
    <w:rsid w:val="68C7359A"/>
    <w:rsid w:val="68DB416F"/>
    <w:rsid w:val="68DE3134"/>
    <w:rsid w:val="68E5013C"/>
    <w:rsid w:val="68F240B9"/>
    <w:rsid w:val="68F36839"/>
    <w:rsid w:val="68F509B4"/>
    <w:rsid w:val="68F55B7E"/>
    <w:rsid w:val="68F71FBD"/>
    <w:rsid w:val="68FA40EE"/>
    <w:rsid w:val="68FA700C"/>
    <w:rsid w:val="692068A8"/>
    <w:rsid w:val="69230854"/>
    <w:rsid w:val="69254B32"/>
    <w:rsid w:val="692661CE"/>
    <w:rsid w:val="693153E0"/>
    <w:rsid w:val="69350892"/>
    <w:rsid w:val="694064F0"/>
    <w:rsid w:val="695B4BD0"/>
    <w:rsid w:val="696F2DC2"/>
    <w:rsid w:val="697C2352"/>
    <w:rsid w:val="69872B85"/>
    <w:rsid w:val="698B6B00"/>
    <w:rsid w:val="698D33D7"/>
    <w:rsid w:val="69914C5D"/>
    <w:rsid w:val="699772FD"/>
    <w:rsid w:val="699A7D1E"/>
    <w:rsid w:val="699C1D97"/>
    <w:rsid w:val="69A7020E"/>
    <w:rsid w:val="69D55C51"/>
    <w:rsid w:val="69DB35EE"/>
    <w:rsid w:val="69E04B87"/>
    <w:rsid w:val="69F242F0"/>
    <w:rsid w:val="69FA77A2"/>
    <w:rsid w:val="69FE18EF"/>
    <w:rsid w:val="6A077B2B"/>
    <w:rsid w:val="6A0D57A9"/>
    <w:rsid w:val="6A161220"/>
    <w:rsid w:val="6A203C92"/>
    <w:rsid w:val="6A204474"/>
    <w:rsid w:val="6A285530"/>
    <w:rsid w:val="6A2D038F"/>
    <w:rsid w:val="6A3450D6"/>
    <w:rsid w:val="6A3A7497"/>
    <w:rsid w:val="6A4153D1"/>
    <w:rsid w:val="6A463716"/>
    <w:rsid w:val="6A4B5668"/>
    <w:rsid w:val="6A5B5FCA"/>
    <w:rsid w:val="6A6D30AE"/>
    <w:rsid w:val="6A8901C5"/>
    <w:rsid w:val="6A8B692C"/>
    <w:rsid w:val="6A8E222A"/>
    <w:rsid w:val="6A9954EF"/>
    <w:rsid w:val="6AA067B9"/>
    <w:rsid w:val="6AAA4ACE"/>
    <w:rsid w:val="6AAB2C8A"/>
    <w:rsid w:val="6AC406AC"/>
    <w:rsid w:val="6ACB41EE"/>
    <w:rsid w:val="6AEC5445"/>
    <w:rsid w:val="6AF5276D"/>
    <w:rsid w:val="6B081E55"/>
    <w:rsid w:val="6B1E4FA3"/>
    <w:rsid w:val="6B2A544F"/>
    <w:rsid w:val="6B41312C"/>
    <w:rsid w:val="6B472432"/>
    <w:rsid w:val="6B50632B"/>
    <w:rsid w:val="6B5816D7"/>
    <w:rsid w:val="6B5C7DEC"/>
    <w:rsid w:val="6B5F6241"/>
    <w:rsid w:val="6B653058"/>
    <w:rsid w:val="6B6960E7"/>
    <w:rsid w:val="6B6F4786"/>
    <w:rsid w:val="6B792615"/>
    <w:rsid w:val="6B7C0742"/>
    <w:rsid w:val="6B824F92"/>
    <w:rsid w:val="6B863716"/>
    <w:rsid w:val="6B952493"/>
    <w:rsid w:val="6BA36552"/>
    <w:rsid w:val="6BC044D3"/>
    <w:rsid w:val="6BC50569"/>
    <w:rsid w:val="6BC60E30"/>
    <w:rsid w:val="6BD12C1C"/>
    <w:rsid w:val="6BD47E40"/>
    <w:rsid w:val="6BD550DD"/>
    <w:rsid w:val="6BE66B9A"/>
    <w:rsid w:val="6BE94A92"/>
    <w:rsid w:val="6BF25152"/>
    <w:rsid w:val="6BFD25E2"/>
    <w:rsid w:val="6C067416"/>
    <w:rsid w:val="6C130C57"/>
    <w:rsid w:val="6C2306B6"/>
    <w:rsid w:val="6C235193"/>
    <w:rsid w:val="6C262F0C"/>
    <w:rsid w:val="6C2D73FA"/>
    <w:rsid w:val="6C3A71AA"/>
    <w:rsid w:val="6C4013C8"/>
    <w:rsid w:val="6C48392B"/>
    <w:rsid w:val="6C543A21"/>
    <w:rsid w:val="6C7413FA"/>
    <w:rsid w:val="6C826936"/>
    <w:rsid w:val="6C8F7554"/>
    <w:rsid w:val="6CC20FE3"/>
    <w:rsid w:val="6CC81C69"/>
    <w:rsid w:val="6CC96795"/>
    <w:rsid w:val="6CCA7735"/>
    <w:rsid w:val="6CD15BE3"/>
    <w:rsid w:val="6CD97846"/>
    <w:rsid w:val="6CDC6E5B"/>
    <w:rsid w:val="6D1312D5"/>
    <w:rsid w:val="6D155C5C"/>
    <w:rsid w:val="6D203B52"/>
    <w:rsid w:val="6D233582"/>
    <w:rsid w:val="6D313AEC"/>
    <w:rsid w:val="6D3159BE"/>
    <w:rsid w:val="6D46164B"/>
    <w:rsid w:val="6D560541"/>
    <w:rsid w:val="6D5D1E03"/>
    <w:rsid w:val="6D5E2F15"/>
    <w:rsid w:val="6D76663C"/>
    <w:rsid w:val="6D7D246C"/>
    <w:rsid w:val="6D7D3037"/>
    <w:rsid w:val="6D7D628B"/>
    <w:rsid w:val="6D8B5801"/>
    <w:rsid w:val="6D8F655F"/>
    <w:rsid w:val="6D967D6F"/>
    <w:rsid w:val="6D9B1405"/>
    <w:rsid w:val="6D9D413F"/>
    <w:rsid w:val="6DA037B8"/>
    <w:rsid w:val="6DB97DE8"/>
    <w:rsid w:val="6DBE2FB8"/>
    <w:rsid w:val="6DC3385B"/>
    <w:rsid w:val="6DC97D6B"/>
    <w:rsid w:val="6DCD3076"/>
    <w:rsid w:val="6DD3225C"/>
    <w:rsid w:val="6DD46BAF"/>
    <w:rsid w:val="6DD51FD6"/>
    <w:rsid w:val="6DD64520"/>
    <w:rsid w:val="6DE315C9"/>
    <w:rsid w:val="6DE63628"/>
    <w:rsid w:val="6DF17111"/>
    <w:rsid w:val="6DF559B0"/>
    <w:rsid w:val="6DF67499"/>
    <w:rsid w:val="6DFC1DE2"/>
    <w:rsid w:val="6E056B89"/>
    <w:rsid w:val="6E05733E"/>
    <w:rsid w:val="6E0D1029"/>
    <w:rsid w:val="6E287E89"/>
    <w:rsid w:val="6E323094"/>
    <w:rsid w:val="6E3553D0"/>
    <w:rsid w:val="6E3E46F4"/>
    <w:rsid w:val="6E4635BF"/>
    <w:rsid w:val="6E4C08EC"/>
    <w:rsid w:val="6E544C45"/>
    <w:rsid w:val="6E5D3D29"/>
    <w:rsid w:val="6E615A2A"/>
    <w:rsid w:val="6E7C3F72"/>
    <w:rsid w:val="6E7F283D"/>
    <w:rsid w:val="6E823961"/>
    <w:rsid w:val="6EC41A12"/>
    <w:rsid w:val="6EC47FEE"/>
    <w:rsid w:val="6EC82A04"/>
    <w:rsid w:val="6EE96843"/>
    <w:rsid w:val="6F093E12"/>
    <w:rsid w:val="6F4003D8"/>
    <w:rsid w:val="6F43558C"/>
    <w:rsid w:val="6F452112"/>
    <w:rsid w:val="6F4E7777"/>
    <w:rsid w:val="6F541699"/>
    <w:rsid w:val="6F605489"/>
    <w:rsid w:val="6F631BCF"/>
    <w:rsid w:val="6F703EFC"/>
    <w:rsid w:val="6F8812B5"/>
    <w:rsid w:val="6F8814B8"/>
    <w:rsid w:val="6F92079B"/>
    <w:rsid w:val="6F946C32"/>
    <w:rsid w:val="6F991AC8"/>
    <w:rsid w:val="6F9F0FA2"/>
    <w:rsid w:val="6FA35470"/>
    <w:rsid w:val="6FA93828"/>
    <w:rsid w:val="6FAD45E3"/>
    <w:rsid w:val="6FB10502"/>
    <w:rsid w:val="6FC31995"/>
    <w:rsid w:val="6FCC38BC"/>
    <w:rsid w:val="6FD9080B"/>
    <w:rsid w:val="6FDE70E2"/>
    <w:rsid w:val="6FE212C4"/>
    <w:rsid w:val="6FEC696D"/>
    <w:rsid w:val="6FF122CD"/>
    <w:rsid w:val="6FF42ECF"/>
    <w:rsid w:val="70100E15"/>
    <w:rsid w:val="702621F4"/>
    <w:rsid w:val="702A21D5"/>
    <w:rsid w:val="704B19C6"/>
    <w:rsid w:val="70584CAE"/>
    <w:rsid w:val="70594994"/>
    <w:rsid w:val="7060672C"/>
    <w:rsid w:val="706124A1"/>
    <w:rsid w:val="706D7D8B"/>
    <w:rsid w:val="707864E8"/>
    <w:rsid w:val="70834FCB"/>
    <w:rsid w:val="7087740C"/>
    <w:rsid w:val="70B040C3"/>
    <w:rsid w:val="70BD0AFD"/>
    <w:rsid w:val="70D5345E"/>
    <w:rsid w:val="70E14F10"/>
    <w:rsid w:val="70EE7DA8"/>
    <w:rsid w:val="70EF5D23"/>
    <w:rsid w:val="70F97256"/>
    <w:rsid w:val="70FF3D6F"/>
    <w:rsid w:val="71054DB9"/>
    <w:rsid w:val="7110207E"/>
    <w:rsid w:val="71127208"/>
    <w:rsid w:val="71132420"/>
    <w:rsid w:val="712C079E"/>
    <w:rsid w:val="712F4711"/>
    <w:rsid w:val="71315999"/>
    <w:rsid w:val="7133109A"/>
    <w:rsid w:val="71333658"/>
    <w:rsid w:val="713E4B4E"/>
    <w:rsid w:val="714B2BD6"/>
    <w:rsid w:val="715C48FD"/>
    <w:rsid w:val="71657065"/>
    <w:rsid w:val="71670588"/>
    <w:rsid w:val="716F4FB4"/>
    <w:rsid w:val="71703081"/>
    <w:rsid w:val="717A06FD"/>
    <w:rsid w:val="718C34D7"/>
    <w:rsid w:val="718F74E6"/>
    <w:rsid w:val="71923F85"/>
    <w:rsid w:val="719271DF"/>
    <w:rsid w:val="7198534D"/>
    <w:rsid w:val="71A64A02"/>
    <w:rsid w:val="71C34CB7"/>
    <w:rsid w:val="71C55400"/>
    <w:rsid w:val="71C57011"/>
    <w:rsid w:val="71D40814"/>
    <w:rsid w:val="71F52A14"/>
    <w:rsid w:val="72094025"/>
    <w:rsid w:val="7209518F"/>
    <w:rsid w:val="720C61B4"/>
    <w:rsid w:val="720F3617"/>
    <w:rsid w:val="72132382"/>
    <w:rsid w:val="72281584"/>
    <w:rsid w:val="72323883"/>
    <w:rsid w:val="72334533"/>
    <w:rsid w:val="72377896"/>
    <w:rsid w:val="723C1536"/>
    <w:rsid w:val="72597039"/>
    <w:rsid w:val="72634604"/>
    <w:rsid w:val="728A0B92"/>
    <w:rsid w:val="7294399A"/>
    <w:rsid w:val="7294761D"/>
    <w:rsid w:val="72980221"/>
    <w:rsid w:val="729D3565"/>
    <w:rsid w:val="72A7546D"/>
    <w:rsid w:val="72A938EB"/>
    <w:rsid w:val="72AE46BF"/>
    <w:rsid w:val="72B04ABA"/>
    <w:rsid w:val="72B4722E"/>
    <w:rsid w:val="72BB4801"/>
    <w:rsid w:val="72C71825"/>
    <w:rsid w:val="72CA432F"/>
    <w:rsid w:val="72CC2E2F"/>
    <w:rsid w:val="72CE4B8E"/>
    <w:rsid w:val="72CF6D4A"/>
    <w:rsid w:val="72D21B8A"/>
    <w:rsid w:val="72DD4A80"/>
    <w:rsid w:val="72DF6220"/>
    <w:rsid w:val="72E10BC6"/>
    <w:rsid w:val="72E2040D"/>
    <w:rsid w:val="72E70907"/>
    <w:rsid w:val="72E70E66"/>
    <w:rsid w:val="72E8280C"/>
    <w:rsid w:val="72EE0F72"/>
    <w:rsid w:val="72EF0F60"/>
    <w:rsid w:val="72F43C7E"/>
    <w:rsid w:val="72FB5507"/>
    <w:rsid w:val="7301193F"/>
    <w:rsid w:val="73026831"/>
    <w:rsid w:val="73035B6C"/>
    <w:rsid w:val="730A3D51"/>
    <w:rsid w:val="730A71C7"/>
    <w:rsid w:val="730B1B7F"/>
    <w:rsid w:val="730F52CA"/>
    <w:rsid w:val="731C29AB"/>
    <w:rsid w:val="73255AB2"/>
    <w:rsid w:val="73293C9E"/>
    <w:rsid w:val="732B0F67"/>
    <w:rsid w:val="73314A31"/>
    <w:rsid w:val="733C7A2B"/>
    <w:rsid w:val="73402F17"/>
    <w:rsid w:val="73477783"/>
    <w:rsid w:val="73742955"/>
    <w:rsid w:val="7387566C"/>
    <w:rsid w:val="73901DAD"/>
    <w:rsid w:val="739C77E2"/>
    <w:rsid w:val="73D15969"/>
    <w:rsid w:val="73D35281"/>
    <w:rsid w:val="73D4213C"/>
    <w:rsid w:val="73E45B43"/>
    <w:rsid w:val="73F708CB"/>
    <w:rsid w:val="73FD1E16"/>
    <w:rsid w:val="74072177"/>
    <w:rsid w:val="740E0C40"/>
    <w:rsid w:val="74106624"/>
    <w:rsid w:val="7410761F"/>
    <w:rsid w:val="742C7068"/>
    <w:rsid w:val="742F5074"/>
    <w:rsid w:val="743A5268"/>
    <w:rsid w:val="744045BB"/>
    <w:rsid w:val="744C4222"/>
    <w:rsid w:val="745A22D6"/>
    <w:rsid w:val="745F630A"/>
    <w:rsid w:val="747B2328"/>
    <w:rsid w:val="747F12CA"/>
    <w:rsid w:val="74823492"/>
    <w:rsid w:val="748550A4"/>
    <w:rsid w:val="749622FF"/>
    <w:rsid w:val="74A05812"/>
    <w:rsid w:val="74A342E9"/>
    <w:rsid w:val="74A37F2E"/>
    <w:rsid w:val="74AD5316"/>
    <w:rsid w:val="74B159F7"/>
    <w:rsid w:val="74B9142B"/>
    <w:rsid w:val="74BE4135"/>
    <w:rsid w:val="74D04C97"/>
    <w:rsid w:val="74DD032D"/>
    <w:rsid w:val="74F155AB"/>
    <w:rsid w:val="74F1597B"/>
    <w:rsid w:val="74F2435C"/>
    <w:rsid w:val="74F4478A"/>
    <w:rsid w:val="74F73858"/>
    <w:rsid w:val="750E479F"/>
    <w:rsid w:val="750F7A2F"/>
    <w:rsid w:val="752E1C16"/>
    <w:rsid w:val="752E2D4D"/>
    <w:rsid w:val="7538718B"/>
    <w:rsid w:val="753F227C"/>
    <w:rsid w:val="75456EBC"/>
    <w:rsid w:val="754615C4"/>
    <w:rsid w:val="754B3175"/>
    <w:rsid w:val="756B2B3E"/>
    <w:rsid w:val="757F2413"/>
    <w:rsid w:val="757F7839"/>
    <w:rsid w:val="758A255F"/>
    <w:rsid w:val="75965663"/>
    <w:rsid w:val="75A347D6"/>
    <w:rsid w:val="75AA7E6F"/>
    <w:rsid w:val="75BD7E7C"/>
    <w:rsid w:val="75C755F8"/>
    <w:rsid w:val="75CC1290"/>
    <w:rsid w:val="75CE3FBF"/>
    <w:rsid w:val="75D557D4"/>
    <w:rsid w:val="75E63395"/>
    <w:rsid w:val="75E909BE"/>
    <w:rsid w:val="75EC320F"/>
    <w:rsid w:val="75EC6BE1"/>
    <w:rsid w:val="75F678FB"/>
    <w:rsid w:val="760134D9"/>
    <w:rsid w:val="76060B52"/>
    <w:rsid w:val="76072A59"/>
    <w:rsid w:val="76085BB4"/>
    <w:rsid w:val="760A19D2"/>
    <w:rsid w:val="76186A2C"/>
    <w:rsid w:val="762179D1"/>
    <w:rsid w:val="762203AC"/>
    <w:rsid w:val="765511C8"/>
    <w:rsid w:val="765B462B"/>
    <w:rsid w:val="766B0FD9"/>
    <w:rsid w:val="766B62B6"/>
    <w:rsid w:val="766D3732"/>
    <w:rsid w:val="767878CA"/>
    <w:rsid w:val="767B2BB9"/>
    <w:rsid w:val="76955B84"/>
    <w:rsid w:val="76AB1C47"/>
    <w:rsid w:val="76AB66B8"/>
    <w:rsid w:val="76B50CB7"/>
    <w:rsid w:val="76C14507"/>
    <w:rsid w:val="76C4094C"/>
    <w:rsid w:val="76C6784A"/>
    <w:rsid w:val="76E27910"/>
    <w:rsid w:val="76F015F7"/>
    <w:rsid w:val="76FA3878"/>
    <w:rsid w:val="76FB3DE6"/>
    <w:rsid w:val="76FD35AD"/>
    <w:rsid w:val="77094BDF"/>
    <w:rsid w:val="77111B01"/>
    <w:rsid w:val="77203427"/>
    <w:rsid w:val="77251941"/>
    <w:rsid w:val="772C0E98"/>
    <w:rsid w:val="772F2DA3"/>
    <w:rsid w:val="773176C8"/>
    <w:rsid w:val="77382AAE"/>
    <w:rsid w:val="774061BE"/>
    <w:rsid w:val="77452AD7"/>
    <w:rsid w:val="77496A84"/>
    <w:rsid w:val="774A15F3"/>
    <w:rsid w:val="7753742F"/>
    <w:rsid w:val="775838F3"/>
    <w:rsid w:val="7763211E"/>
    <w:rsid w:val="776B0825"/>
    <w:rsid w:val="777A0472"/>
    <w:rsid w:val="77882C04"/>
    <w:rsid w:val="778A6C33"/>
    <w:rsid w:val="778B4DFF"/>
    <w:rsid w:val="778C6B93"/>
    <w:rsid w:val="779203A0"/>
    <w:rsid w:val="7799417E"/>
    <w:rsid w:val="779F1DFC"/>
    <w:rsid w:val="779F5386"/>
    <w:rsid w:val="77A5607A"/>
    <w:rsid w:val="77AC2CE3"/>
    <w:rsid w:val="77B520F5"/>
    <w:rsid w:val="77BD7CA4"/>
    <w:rsid w:val="77C34594"/>
    <w:rsid w:val="77C34920"/>
    <w:rsid w:val="77C56D4D"/>
    <w:rsid w:val="77D7339E"/>
    <w:rsid w:val="77DD1770"/>
    <w:rsid w:val="77F17064"/>
    <w:rsid w:val="78026893"/>
    <w:rsid w:val="78136F8C"/>
    <w:rsid w:val="781E0C37"/>
    <w:rsid w:val="782C4AE1"/>
    <w:rsid w:val="783863BE"/>
    <w:rsid w:val="783F5007"/>
    <w:rsid w:val="78450BF6"/>
    <w:rsid w:val="784847E6"/>
    <w:rsid w:val="78491144"/>
    <w:rsid w:val="784F3730"/>
    <w:rsid w:val="785130AB"/>
    <w:rsid w:val="785521F9"/>
    <w:rsid w:val="785D640E"/>
    <w:rsid w:val="786939F1"/>
    <w:rsid w:val="78694E3F"/>
    <w:rsid w:val="78732C75"/>
    <w:rsid w:val="78830C98"/>
    <w:rsid w:val="78866E03"/>
    <w:rsid w:val="788B25A3"/>
    <w:rsid w:val="78915481"/>
    <w:rsid w:val="78954581"/>
    <w:rsid w:val="78993BB6"/>
    <w:rsid w:val="78A90299"/>
    <w:rsid w:val="78AE64D8"/>
    <w:rsid w:val="78B37F35"/>
    <w:rsid w:val="78BA6696"/>
    <w:rsid w:val="78BA7D6D"/>
    <w:rsid w:val="78BC118C"/>
    <w:rsid w:val="78C12B81"/>
    <w:rsid w:val="78C52A1F"/>
    <w:rsid w:val="78D91316"/>
    <w:rsid w:val="78DB34E3"/>
    <w:rsid w:val="78E9337D"/>
    <w:rsid w:val="78F27A61"/>
    <w:rsid w:val="78F8584F"/>
    <w:rsid w:val="78FA57BF"/>
    <w:rsid w:val="78FF2FC3"/>
    <w:rsid w:val="790B6418"/>
    <w:rsid w:val="790D1945"/>
    <w:rsid w:val="791142A1"/>
    <w:rsid w:val="792B4AA7"/>
    <w:rsid w:val="793B0EAB"/>
    <w:rsid w:val="793E72A4"/>
    <w:rsid w:val="79474980"/>
    <w:rsid w:val="7955680A"/>
    <w:rsid w:val="795F7E56"/>
    <w:rsid w:val="796A2FD5"/>
    <w:rsid w:val="79784312"/>
    <w:rsid w:val="79885821"/>
    <w:rsid w:val="79A3483D"/>
    <w:rsid w:val="79BC18A6"/>
    <w:rsid w:val="79C34D04"/>
    <w:rsid w:val="79C677FD"/>
    <w:rsid w:val="79D41F6B"/>
    <w:rsid w:val="79D46435"/>
    <w:rsid w:val="79DE4376"/>
    <w:rsid w:val="79E12882"/>
    <w:rsid w:val="79E31F00"/>
    <w:rsid w:val="79E533D5"/>
    <w:rsid w:val="79E960AE"/>
    <w:rsid w:val="7A010B3C"/>
    <w:rsid w:val="7A0B43FB"/>
    <w:rsid w:val="7A0D484D"/>
    <w:rsid w:val="7A0F6A82"/>
    <w:rsid w:val="7A131E1B"/>
    <w:rsid w:val="7A1F5EA2"/>
    <w:rsid w:val="7A2340F3"/>
    <w:rsid w:val="7A261BF6"/>
    <w:rsid w:val="7A314A00"/>
    <w:rsid w:val="7A4271D5"/>
    <w:rsid w:val="7A4271D8"/>
    <w:rsid w:val="7A4F36BE"/>
    <w:rsid w:val="7A5F5873"/>
    <w:rsid w:val="7A622B64"/>
    <w:rsid w:val="7A630061"/>
    <w:rsid w:val="7A683D20"/>
    <w:rsid w:val="7A7F1731"/>
    <w:rsid w:val="7A895FBC"/>
    <w:rsid w:val="7A954373"/>
    <w:rsid w:val="7AAC0538"/>
    <w:rsid w:val="7AAF3F11"/>
    <w:rsid w:val="7AC21A3D"/>
    <w:rsid w:val="7AC41418"/>
    <w:rsid w:val="7ACE1685"/>
    <w:rsid w:val="7AEE7FE0"/>
    <w:rsid w:val="7AF31832"/>
    <w:rsid w:val="7AF541DF"/>
    <w:rsid w:val="7AF75C2D"/>
    <w:rsid w:val="7AFA5156"/>
    <w:rsid w:val="7AFD32D0"/>
    <w:rsid w:val="7B011A43"/>
    <w:rsid w:val="7B061145"/>
    <w:rsid w:val="7B0A105B"/>
    <w:rsid w:val="7B0F5208"/>
    <w:rsid w:val="7B1A7D39"/>
    <w:rsid w:val="7B255716"/>
    <w:rsid w:val="7B2E771F"/>
    <w:rsid w:val="7B3F08C3"/>
    <w:rsid w:val="7B4A1205"/>
    <w:rsid w:val="7B53510B"/>
    <w:rsid w:val="7B563B88"/>
    <w:rsid w:val="7B5857F7"/>
    <w:rsid w:val="7B5C5BB7"/>
    <w:rsid w:val="7B60019A"/>
    <w:rsid w:val="7B6B5C44"/>
    <w:rsid w:val="7B6C0973"/>
    <w:rsid w:val="7B714CA3"/>
    <w:rsid w:val="7B781870"/>
    <w:rsid w:val="7B7C4771"/>
    <w:rsid w:val="7B7E553A"/>
    <w:rsid w:val="7B8E1ECB"/>
    <w:rsid w:val="7B97781D"/>
    <w:rsid w:val="7B996E0A"/>
    <w:rsid w:val="7B9D7D9B"/>
    <w:rsid w:val="7B9E291F"/>
    <w:rsid w:val="7BA007F2"/>
    <w:rsid w:val="7BA25C0C"/>
    <w:rsid w:val="7BA41446"/>
    <w:rsid w:val="7BAE5DCB"/>
    <w:rsid w:val="7BB6443A"/>
    <w:rsid w:val="7BCB3ED0"/>
    <w:rsid w:val="7BCC5340"/>
    <w:rsid w:val="7BD60225"/>
    <w:rsid w:val="7BDB6C5E"/>
    <w:rsid w:val="7BDD293F"/>
    <w:rsid w:val="7BDF46E1"/>
    <w:rsid w:val="7BE83543"/>
    <w:rsid w:val="7BEE1B84"/>
    <w:rsid w:val="7BF03704"/>
    <w:rsid w:val="7BFA1F80"/>
    <w:rsid w:val="7BFC5951"/>
    <w:rsid w:val="7C114E6D"/>
    <w:rsid w:val="7C232592"/>
    <w:rsid w:val="7C336D13"/>
    <w:rsid w:val="7C347C1A"/>
    <w:rsid w:val="7C384234"/>
    <w:rsid w:val="7C3A1C72"/>
    <w:rsid w:val="7C433B18"/>
    <w:rsid w:val="7C465EC6"/>
    <w:rsid w:val="7C4A04FD"/>
    <w:rsid w:val="7C6D3836"/>
    <w:rsid w:val="7C6F0135"/>
    <w:rsid w:val="7C717BEB"/>
    <w:rsid w:val="7C807DF2"/>
    <w:rsid w:val="7C816AEA"/>
    <w:rsid w:val="7C871EAD"/>
    <w:rsid w:val="7C9512E5"/>
    <w:rsid w:val="7CB91EC1"/>
    <w:rsid w:val="7CBF60E0"/>
    <w:rsid w:val="7CCD3EEA"/>
    <w:rsid w:val="7CD20200"/>
    <w:rsid w:val="7CD46CE8"/>
    <w:rsid w:val="7CDB3D72"/>
    <w:rsid w:val="7CDC21E9"/>
    <w:rsid w:val="7CF057CA"/>
    <w:rsid w:val="7CF54E2F"/>
    <w:rsid w:val="7D037E4D"/>
    <w:rsid w:val="7D0C2802"/>
    <w:rsid w:val="7D373582"/>
    <w:rsid w:val="7D38106F"/>
    <w:rsid w:val="7D3A3FCB"/>
    <w:rsid w:val="7D436CE4"/>
    <w:rsid w:val="7D501639"/>
    <w:rsid w:val="7D586B71"/>
    <w:rsid w:val="7D59712D"/>
    <w:rsid w:val="7D6929AB"/>
    <w:rsid w:val="7D716461"/>
    <w:rsid w:val="7D7315C2"/>
    <w:rsid w:val="7D8F1C37"/>
    <w:rsid w:val="7D902F02"/>
    <w:rsid w:val="7DA05052"/>
    <w:rsid w:val="7DA52F91"/>
    <w:rsid w:val="7DAA2031"/>
    <w:rsid w:val="7DB6492B"/>
    <w:rsid w:val="7DC43E3D"/>
    <w:rsid w:val="7DC46246"/>
    <w:rsid w:val="7DC640A8"/>
    <w:rsid w:val="7DC73E5B"/>
    <w:rsid w:val="7DD37458"/>
    <w:rsid w:val="7DD56578"/>
    <w:rsid w:val="7DD64895"/>
    <w:rsid w:val="7DD920E5"/>
    <w:rsid w:val="7DDF76AE"/>
    <w:rsid w:val="7DE35890"/>
    <w:rsid w:val="7DEB698E"/>
    <w:rsid w:val="7DF24EDA"/>
    <w:rsid w:val="7DFB1E0D"/>
    <w:rsid w:val="7DFC20D4"/>
    <w:rsid w:val="7E076B19"/>
    <w:rsid w:val="7E0D755D"/>
    <w:rsid w:val="7E1C225F"/>
    <w:rsid w:val="7E1C6793"/>
    <w:rsid w:val="7E1E13D7"/>
    <w:rsid w:val="7E2D1D4A"/>
    <w:rsid w:val="7E4546D9"/>
    <w:rsid w:val="7E4746A1"/>
    <w:rsid w:val="7E482855"/>
    <w:rsid w:val="7E4E66EB"/>
    <w:rsid w:val="7E51400A"/>
    <w:rsid w:val="7E516415"/>
    <w:rsid w:val="7E551F90"/>
    <w:rsid w:val="7E553215"/>
    <w:rsid w:val="7E5576B9"/>
    <w:rsid w:val="7E8D6CBD"/>
    <w:rsid w:val="7E942EE5"/>
    <w:rsid w:val="7EB53214"/>
    <w:rsid w:val="7EBA3AE2"/>
    <w:rsid w:val="7EBC5784"/>
    <w:rsid w:val="7ECF222A"/>
    <w:rsid w:val="7ED05FF3"/>
    <w:rsid w:val="7ED3193E"/>
    <w:rsid w:val="7EDB7488"/>
    <w:rsid w:val="7EEE2E1E"/>
    <w:rsid w:val="7EEF61D9"/>
    <w:rsid w:val="7EF22707"/>
    <w:rsid w:val="7EFA4B57"/>
    <w:rsid w:val="7F0D2526"/>
    <w:rsid w:val="7F0D393D"/>
    <w:rsid w:val="7F1277FB"/>
    <w:rsid w:val="7F185A2F"/>
    <w:rsid w:val="7F1B2327"/>
    <w:rsid w:val="7F21223F"/>
    <w:rsid w:val="7F471B42"/>
    <w:rsid w:val="7F487DDB"/>
    <w:rsid w:val="7F5F237E"/>
    <w:rsid w:val="7F6073C9"/>
    <w:rsid w:val="7F61298D"/>
    <w:rsid w:val="7F63797B"/>
    <w:rsid w:val="7F6751EB"/>
    <w:rsid w:val="7F6F519A"/>
    <w:rsid w:val="7F7A7466"/>
    <w:rsid w:val="7F8C2ACE"/>
    <w:rsid w:val="7F8C7E4C"/>
    <w:rsid w:val="7F8D77FD"/>
    <w:rsid w:val="7F914429"/>
    <w:rsid w:val="7FA97969"/>
    <w:rsid w:val="7FB55060"/>
    <w:rsid w:val="7FC63880"/>
    <w:rsid w:val="7FD1781E"/>
    <w:rsid w:val="7FD352B7"/>
    <w:rsid w:val="7FDD52F8"/>
    <w:rsid w:val="7FE35F3C"/>
    <w:rsid w:val="7FE65919"/>
    <w:rsid w:val="7FE767D0"/>
    <w:rsid w:val="7FEB56A7"/>
    <w:rsid w:val="7FF21BEA"/>
    <w:rsid w:val="7FFE0B6D"/>
    <w:rsid w:val="7FFF11FC"/>
    <w:rsid w:val="F7B2D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3"/>
    <w:qFormat/>
    <w:uiPriority w:val="9"/>
    <w:pPr>
      <w:keepNext/>
      <w:jc w:val="center"/>
      <w:outlineLvl w:val="0"/>
    </w:pPr>
    <w:rPr>
      <w:b/>
      <w:sz w:val="18"/>
    </w:rPr>
  </w:style>
  <w:style w:type="paragraph" w:styleId="6">
    <w:name w:val="heading 2"/>
    <w:basedOn w:val="1"/>
    <w:next w:val="1"/>
    <w:link w:val="118"/>
    <w:qFormat/>
    <w:uiPriority w:val="0"/>
    <w:pPr>
      <w:keepNext/>
      <w:outlineLvl w:val="1"/>
    </w:pPr>
    <w:rPr>
      <w:b/>
      <w:sz w:val="18"/>
    </w:rPr>
  </w:style>
  <w:style w:type="paragraph" w:styleId="7">
    <w:name w:val="heading 3"/>
    <w:basedOn w:val="1"/>
    <w:next w:val="1"/>
    <w:link w:val="40"/>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pPr>
      <w:jc w:val="left"/>
    </w:pPr>
    <w:rPr>
      <w:bCs/>
      <w:sz w:val="18"/>
    </w:r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9">
    <w:name w:val="Normal Indent"/>
    <w:basedOn w:val="1"/>
    <w:link w:val="67"/>
    <w:qFormat/>
    <w:uiPriority w:val="0"/>
    <w:pPr>
      <w:ind w:firstLine="420" w:firstLineChars="200"/>
    </w:pPr>
  </w:style>
  <w:style w:type="paragraph" w:styleId="10">
    <w:name w:val="index 5"/>
    <w:basedOn w:val="1"/>
    <w:next w:val="1"/>
    <w:qFormat/>
    <w:uiPriority w:val="0"/>
    <w:pPr>
      <w:jc w:val="center"/>
    </w:pPr>
    <w:rPr>
      <w:color w:val="FF0000"/>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index 6"/>
    <w:basedOn w:val="1"/>
    <w:next w:val="1"/>
    <w:qFormat/>
    <w:uiPriority w:val="0"/>
    <w:pPr>
      <w:ind w:left="2100"/>
    </w:pPr>
  </w:style>
  <w:style w:type="paragraph" w:styleId="14">
    <w:name w:val="Salutation"/>
    <w:basedOn w:val="1"/>
    <w:next w:val="1"/>
    <w:qFormat/>
    <w:uiPriority w:val="0"/>
    <w:pPr>
      <w:spacing w:line="540" w:lineRule="exact"/>
    </w:pPr>
    <w:rPr>
      <w:rFonts w:eastAsia="仿宋_GB2312"/>
      <w:spacing w:val="-2"/>
      <w:sz w:val="32"/>
      <w:szCs w:val="20"/>
    </w:rPr>
  </w:style>
  <w:style w:type="paragraph" w:styleId="15">
    <w:name w:val="Body Text Indent"/>
    <w:basedOn w:val="1"/>
    <w:link w:val="56"/>
    <w:qFormat/>
    <w:uiPriority w:val="0"/>
    <w:pPr>
      <w:spacing w:line="360" w:lineRule="exact"/>
      <w:ind w:left="280" w:firstLine="560" w:firstLineChars="200"/>
    </w:pPr>
    <w:rPr>
      <w:rFonts w:ascii="仿宋_GB2312" w:eastAsia="仿宋_GB2312"/>
      <w:sz w:val="28"/>
      <w:szCs w:val="32"/>
    </w:rPr>
  </w:style>
  <w:style w:type="paragraph" w:styleId="16">
    <w:name w:val="List 2"/>
    <w:basedOn w:val="1"/>
    <w:qFormat/>
    <w:uiPriority w:val="99"/>
    <w:pPr>
      <w:ind w:left="100" w:leftChars="200" w:hanging="200" w:hangingChars="200"/>
    </w:pPr>
  </w:style>
  <w:style w:type="paragraph" w:styleId="17">
    <w:name w:val="Plain Text"/>
    <w:basedOn w:val="1"/>
    <w:next w:val="13"/>
    <w:link w:val="60"/>
    <w:qFormat/>
    <w:uiPriority w:val="0"/>
    <w:pPr>
      <w:widowControl/>
      <w:jc w:val="left"/>
    </w:pPr>
    <w:rPr>
      <w:rFonts w:ascii="宋体" w:hAnsi="Courier New"/>
      <w:kern w:val="0"/>
      <w:sz w:val="20"/>
      <w:szCs w:val="20"/>
    </w:rPr>
  </w:style>
  <w:style w:type="paragraph" w:styleId="18">
    <w:name w:val="Date"/>
    <w:basedOn w:val="1"/>
    <w:next w:val="1"/>
    <w:qFormat/>
    <w:uiPriority w:val="0"/>
    <w:pPr>
      <w:ind w:left="100" w:leftChars="2500"/>
    </w:pPr>
  </w:style>
  <w:style w:type="paragraph" w:styleId="19">
    <w:name w:val="Body Text Indent 2"/>
    <w:basedOn w:val="1"/>
    <w:link w:val="80"/>
    <w:qFormat/>
    <w:uiPriority w:val="0"/>
    <w:pPr>
      <w:spacing w:after="120" w:line="480" w:lineRule="auto"/>
      <w:ind w:left="420" w:leftChars="200"/>
    </w:pPr>
  </w:style>
  <w:style w:type="paragraph" w:styleId="20">
    <w:name w:val="Balloon Text"/>
    <w:basedOn w:val="1"/>
    <w:link w:val="59"/>
    <w:qFormat/>
    <w:uiPriority w:val="0"/>
    <w:rPr>
      <w:sz w:val="18"/>
      <w:szCs w:val="18"/>
    </w:rPr>
  </w:style>
  <w:style w:type="paragraph" w:styleId="21">
    <w:name w:val="footer"/>
    <w:basedOn w:val="1"/>
    <w:link w:val="57"/>
    <w:qFormat/>
    <w:uiPriority w:val="0"/>
    <w:pPr>
      <w:tabs>
        <w:tab w:val="center" w:pos="4153"/>
        <w:tab w:val="right" w:pos="8306"/>
      </w:tabs>
      <w:snapToGrid w:val="0"/>
      <w:jc w:val="left"/>
    </w:pPr>
    <w:rPr>
      <w:sz w:val="18"/>
      <w:szCs w:val="18"/>
    </w:rPr>
  </w:style>
  <w:style w:type="paragraph" w:styleId="22">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5">
    <w:name w:val="Normal (Web)"/>
    <w:basedOn w:val="1"/>
    <w:qFormat/>
    <w:uiPriority w:val="0"/>
    <w:pPr>
      <w:widowControl/>
      <w:spacing w:before="150" w:after="150"/>
      <w:jc w:val="left"/>
    </w:pPr>
    <w:rPr>
      <w:rFonts w:ascii="宋体" w:hAnsi="宋体" w:cs="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rFonts w:hint="default" w:ascii="ˎ̥" w:hAnsi="ˎ̥"/>
      <w:color w:val="000000"/>
      <w:sz w:val="18"/>
      <w:szCs w:val="18"/>
      <w:u w:val="none"/>
    </w:rPr>
  </w:style>
  <w:style w:type="character" w:styleId="35">
    <w:name w:val="HTML Code"/>
    <w:qFormat/>
    <w:uiPriority w:val="0"/>
    <w:rPr>
      <w:rFonts w:ascii="Courier New" w:hAnsi="Courier New"/>
      <w:sz w:val="20"/>
    </w:rPr>
  </w:style>
  <w:style w:type="character" w:styleId="36">
    <w:name w:val="HTML Cite"/>
    <w:qFormat/>
    <w:uiPriority w:val="0"/>
  </w:style>
  <w:style w:type="character" w:customStyle="1" w:styleId="37">
    <w:name w:val="一级标题 Char"/>
    <w:link w:val="38"/>
    <w:qFormat/>
    <w:uiPriority w:val="0"/>
    <w:rPr>
      <w:rFonts w:ascii="楷体_GB2312" w:hAnsi="宋体" w:eastAsia="楷体_GB2312"/>
      <w:b/>
      <w:sz w:val="28"/>
      <w:szCs w:val="24"/>
    </w:rPr>
  </w:style>
  <w:style w:type="paragraph" w:customStyle="1" w:styleId="38">
    <w:name w:val="一级标题"/>
    <w:basedOn w:val="1"/>
    <w:link w:val="37"/>
    <w:qFormat/>
    <w:uiPriority w:val="0"/>
    <w:pPr>
      <w:widowControl/>
      <w:spacing w:line="560" w:lineRule="exact"/>
      <w:jc w:val="left"/>
      <w:outlineLvl w:val="0"/>
    </w:pPr>
    <w:rPr>
      <w:rFonts w:ascii="楷体_GB2312" w:hAnsi="宋体" w:eastAsia="楷体_GB2312"/>
      <w:b/>
      <w:kern w:val="0"/>
      <w:sz w:val="28"/>
    </w:rPr>
  </w:style>
  <w:style w:type="character" w:customStyle="1" w:styleId="39">
    <w:name w:val="modifier"/>
    <w:qFormat/>
    <w:uiPriority w:val="0"/>
    <w:rPr>
      <w:color w:val="FF0000"/>
    </w:rPr>
  </w:style>
  <w:style w:type="character" w:customStyle="1" w:styleId="40">
    <w:name w:val="标题 3 Char"/>
    <w:link w:val="7"/>
    <w:qFormat/>
    <w:uiPriority w:val="0"/>
    <w:rPr>
      <w:rFonts w:ascii="Tahoma" w:hAnsi="Tahoma" w:eastAsia="微软雅黑"/>
      <w:b/>
      <w:bCs/>
      <w:sz w:val="32"/>
      <w:szCs w:val="32"/>
    </w:rPr>
  </w:style>
  <w:style w:type="character" w:customStyle="1" w:styleId="41">
    <w:name w:val="font01"/>
    <w:qFormat/>
    <w:uiPriority w:val="0"/>
    <w:rPr>
      <w:rFonts w:hint="eastAsia" w:ascii="宋体" w:hAnsi="宋体" w:eastAsia="宋体" w:cs="宋体"/>
      <w:color w:val="FF0000"/>
      <w:sz w:val="20"/>
      <w:szCs w:val="20"/>
      <w:u w:val="none"/>
    </w:rPr>
  </w:style>
  <w:style w:type="character" w:customStyle="1" w:styleId="42">
    <w:name w:val="无间隔 Char"/>
    <w:link w:val="43"/>
    <w:qFormat/>
    <w:uiPriority w:val="1"/>
    <w:rPr>
      <w:sz w:val="22"/>
      <w:szCs w:val="22"/>
      <w:lang w:val="en-US" w:eastAsia="zh-CN" w:bidi="ar-SA"/>
    </w:rPr>
  </w:style>
  <w:style w:type="paragraph" w:styleId="43">
    <w:name w:val="No Spacing"/>
    <w:link w:val="42"/>
    <w:qFormat/>
    <w:uiPriority w:val="1"/>
    <w:rPr>
      <w:rFonts w:ascii="Times New Roman" w:hAnsi="Times New Roman" w:eastAsia="宋体" w:cs="Times New Roman"/>
      <w:sz w:val="22"/>
      <w:szCs w:val="22"/>
      <w:lang w:val="en-US" w:eastAsia="zh-CN" w:bidi="ar-SA"/>
    </w:rPr>
  </w:style>
  <w:style w:type="character" w:customStyle="1" w:styleId="44">
    <w:name w:val="纯文本 Char1"/>
    <w:qFormat/>
    <w:uiPriority w:val="99"/>
    <w:rPr>
      <w:rFonts w:ascii="宋体" w:hAnsi="Courier New" w:cs="Courier New"/>
      <w:kern w:val="2"/>
      <w:sz w:val="21"/>
      <w:szCs w:val="21"/>
    </w:rPr>
  </w:style>
  <w:style w:type="character" w:customStyle="1" w:styleId="45">
    <w:name w:val="正文文本 Char"/>
    <w:link w:val="2"/>
    <w:qFormat/>
    <w:uiPriority w:val="0"/>
    <w:rPr>
      <w:bCs/>
      <w:kern w:val="2"/>
      <w:sz w:val="18"/>
      <w:szCs w:val="24"/>
    </w:rPr>
  </w:style>
  <w:style w:type="character" w:customStyle="1" w:styleId="46">
    <w:name w:val="访问过的超链接1"/>
    <w:qFormat/>
    <w:uiPriority w:val="0"/>
    <w:rPr>
      <w:color w:val="333333"/>
      <w:u w:val="none"/>
    </w:rPr>
  </w:style>
  <w:style w:type="character" w:customStyle="1" w:styleId="47">
    <w:name w:val="UP正文 Char Char"/>
    <w:link w:val="48"/>
    <w:qFormat/>
    <w:uiPriority w:val="0"/>
    <w:rPr>
      <w:rFonts w:ascii="Tahoma" w:eastAsia="宋体"/>
      <w:kern w:val="2"/>
      <w:sz w:val="21"/>
      <w:lang w:bidi="ar-SA"/>
    </w:rPr>
  </w:style>
  <w:style w:type="paragraph" w:customStyle="1" w:styleId="48">
    <w:name w:val="UP正文"/>
    <w:basedOn w:val="1"/>
    <w:link w:val="47"/>
    <w:qFormat/>
    <w:uiPriority w:val="0"/>
    <w:pPr>
      <w:spacing w:line="360" w:lineRule="auto"/>
      <w:ind w:left="420" w:leftChars="200" w:firstLine="420" w:firstLineChars="200"/>
    </w:pPr>
    <w:rPr>
      <w:rFonts w:ascii="Tahoma"/>
      <w:szCs w:val="20"/>
    </w:rPr>
  </w:style>
  <w:style w:type="character" w:customStyle="1" w:styleId="49">
    <w:name w:val="正文文本首行缩进 字符"/>
    <w:basedOn w:val="45"/>
    <w:link w:val="50"/>
    <w:qFormat/>
    <w:uiPriority w:val="0"/>
    <w:rPr>
      <w:kern w:val="2"/>
      <w:sz w:val="18"/>
      <w:szCs w:val="24"/>
    </w:rPr>
  </w:style>
  <w:style w:type="paragraph" w:customStyle="1" w:styleId="50">
    <w:name w:val="正文文本首行缩进"/>
    <w:basedOn w:val="2"/>
    <w:link w:val="49"/>
    <w:qFormat/>
    <w:uiPriority w:val="0"/>
    <w:pPr>
      <w:spacing w:after="120"/>
      <w:ind w:firstLine="420" w:firstLineChars="100"/>
      <w:jc w:val="both"/>
    </w:pPr>
  </w:style>
  <w:style w:type="character" w:customStyle="1" w:styleId="51">
    <w:name w:val="style111"/>
    <w:qFormat/>
    <w:uiPriority w:val="0"/>
    <w:rPr>
      <w:sz w:val="24"/>
      <w:szCs w:val="24"/>
    </w:rPr>
  </w:style>
  <w:style w:type="character" w:customStyle="1" w:styleId="52">
    <w:name w:val="font31"/>
    <w:basedOn w:val="28"/>
    <w:qFormat/>
    <w:uiPriority w:val="0"/>
    <w:rPr>
      <w:rFonts w:hint="eastAsia" w:ascii="宋体" w:hAnsi="宋体" w:eastAsia="宋体" w:cs="宋体"/>
      <w:color w:val="000000"/>
      <w:sz w:val="22"/>
      <w:szCs w:val="22"/>
      <w:u w:val="none"/>
    </w:rPr>
  </w:style>
  <w:style w:type="character" w:customStyle="1" w:styleId="53">
    <w:name w:val="ca-3"/>
    <w:basedOn w:val="28"/>
    <w:qFormat/>
    <w:uiPriority w:val="0"/>
  </w:style>
  <w:style w:type="character" w:customStyle="1" w:styleId="54">
    <w:name w:val="列出段落 Char"/>
    <w:link w:val="55"/>
    <w:qFormat/>
    <w:uiPriority w:val="0"/>
    <w:rPr>
      <w:kern w:val="2"/>
      <w:sz w:val="21"/>
      <w:szCs w:val="22"/>
    </w:rPr>
  </w:style>
  <w:style w:type="paragraph" w:customStyle="1" w:styleId="55">
    <w:name w:val="列出段落2"/>
    <w:basedOn w:val="1"/>
    <w:link w:val="54"/>
    <w:qFormat/>
    <w:uiPriority w:val="0"/>
    <w:pPr>
      <w:ind w:firstLine="420" w:firstLineChars="200"/>
    </w:pPr>
    <w:rPr>
      <w:szCs w:val="22"/>
    </w:rPr>
  </w:style>
  <w:style w:type="character" w:customStyle="1" w:styleId="56">
    <w:name w:val="正文文本缩进 Char"/>
    <w:link w:val="15"/>
    <w:qFormat/>
    <w:uiPriority w:val="0"/>
    <w:rPr>
      <w:rFonts w:ascii="仿宋_GB2312" w:eastAsia="仿宋_GB2312"/>
      <w:kern w:val="2"/>
      <w:sz w:val="28"/>
      <w:szCs w:val="32"/>
    </w:rPr>
  </w:style>
  <w:style w:type="character" w:customStyle="1" w:styleId="57">
    <w:name w:val="页脚 Char"/>
    <w:link w:val="21"/>
    <w:qFormat/>
    <w:uiPriority w:val="99"/>
    <w:rPr>
      <w:kern w:val="2"/>
      <w:sz w:val="18"/>
      <w:szCs w:val="18"/>
    </w:rPr>
  </w:style>
  <w:style w:type="character" w:customStyle="1" w:styleId="58">
    <w:name w:val="正文文本缩进 字符1"/>
    <w:semiHidden/>
    <w:qFormat/>
    <w:uiPriority w:val="99"/>
  </w:style>
  <w:style w:type="character" w:customStyle="1" w:styleId="59">
    <w:name w:val="批注框文本 Char"/>
    <w:link w:val="20"/>
    <w:qFormat/>
    <w:uiPriority w:val="0"/>
    <w:rPr>
      <w:kern w:val="2"/>
      <w:sz w:val="18"/>
      <w:szCs w:val="18"/>
    </w:rPr>
  </w:style>
  <w:style w:type="character" w:customStyle="1" w:styleId="60">
    <w:name w:val="纯文本 Char"/>
    <w:link w:val="17"/>
    <w:qFormat/>
    <w:uiPriority w:val="0"/>
    <w:rPr>
      <w:rFonts w:ascii="宋体" w:hAnsi="Courier New"/>
    </w:rPr>
  </w:style>
  <w:style w:type="character" w:customStyle="1" w:styleId="61">
    <w:name w:val="hei13b1"/>
    <w:qFormat/>
    <w:uiPriority w:val="0"/>
    <w:rPr>
      <w:rFonts w:hint="default" w:ascii="Arial" w:hAnsi="Arial" w:cs="Arial"/>
      <w:b/>
      <w:bCs/>
      <w:color w:val="000000"/>
      <w:sz w:val="20"/>
      <w:szCs w:val="20"/>
    </w:rPr>
  </w:style>
  <w:style w:type="character" w:customStyle="1" w:styleId="62">
    <w:name w:val="表格文字 Char"/>
    <w:link w:val="63"/>
    <w:qFormat/>
    <w:uiPriority w:val="0"/>
    <w:rPr>
      <w:bCs/>
      <w:spacing w:val="10"/>
      <w:kern w:val="0"/>
      <w:sz w:val="24"/>
      <w:szCs w:val="20"/>
    </w:rPr>
  </w:style>
  <w:style w:type="paragraph" w:customStyle="1" w:styleId="63">
    <w:name w:val="表格文字"/>
    <w:basedOn w:val="1"/>
    <w:link w:val="62"/>
    <w:qFormat/>
    <w:uiPriority w:val="0"/>
    <w:pPr>
      <w:spacing w:before="25" w:after="25"/>
      <w:jc w:val="left"/>
    </w:pPr>
    <w:rPr>
      <w:bCs/>
      <w:spacing w:val="10"/>
      <w:kern w:val="0"/>
      <w:sz w:val="24"/>
      <w:szCs w:val="20"/>
    </w:rPr>
  </w:style>
  <w:style w:type="character" w:customStyle="1" w:styleId="64">
    <w:name w:val="label"/>
    <w:qFormat/>
    <w:uiPriority w:val="0"/>
    <w:rPr>
      <w:color w:val="555555"/>
    </w:rPr>
  </w:style>
  <w:style w:type="character" w:customStyle="1" w:styleId="65">
    <w:name w:val="font11"/>
    <w:basedOn w:val="28"/>
    <w:qFormat/>
    <w:uiPriority w:val="0"/>
    <w:rPr>
      <w:rFonts w:hint="default" w:ascii="Times New Roman" w:hAnsi="Times New Roman" w:cs="Times New Roman"/>
      <w:color w:val="000000"/>
      <w:sz w:val="20"/>
      <w:szCs w:val="20"/>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正文缩进 Char"/>
    <w:link w:val="9"/>
    <w:qFormat/>
    <w:uiPriority w:val="0"/>
    <w:rPr>
      <w:rFonts w:eastAsia="宋体"/>
      <w:kern w:val="2"/>
      <w:sz w:val="21"/>
      <w:szCs w:val="24"/>
      <w:lang w:val="en-US" w:eastAsia="zh-CN" w:bidi="ar-SA"/>
    </w:rPr>
  </w:style>
  <w:style w:type="character" w:customStyle="1" w:styleId="68">
    <w:name w:val="ca-1"/>
    <w:basedOn w:val="28"/>
    <w:qFormat/>
    <w:uiPriority w:val="0"/>
  </w:style>
  <w:style w:type="character" w:customStyle="1" w:styleId="69">
    <w:name w:val="apple-converted-space"/>
    <w:basedOn w:val="28"/>
    <w:qFormat/>
    <w:uiPriority w:val="0"/>
  </w:style>
  <w:style w:type="character" w:customStyle="1" w:styleId="70">
    <w:name w:val="UP标题3 Char Char"/>
    <w:link w:val="71"/>
    <w:qFormat/>
    <w:uiPriority w:val="0"/>
    <w:rPr>
      <w:rFonts w:ascii="黑体" w:eastAsia="黑体"/>
      <w:kern w:val="2"/>
      <w:sz w:val="28"/>
      <w:szCs w:val="28"/>
      <w:lang w:bidi="ar-SA"/>
    </w:rPr>
  </w:style>
  <w:style w:type="paragraph" w:customStyle="1" w:styleId="71">
    <w:name w:val="UP标题3"/>
    <w:basedOn w:val="1"/>
    <w:link w:val="70"/>
    <w:qFormat/>
    <w:uiPriority w:val="0"/>
    <w:pPr>
      <w:spacing w:line="360" w:lineRule="auto"/>
      <w:ind w:firstLine="149" w:firstLineChars="149"/>
    </w:pPr>
    <w:rPr>
      <w:rFonts w:ascii="黑体" w:eastAsia="黑体"/>
      <w:sz w:val="28"/>
      <w:szCs w:val="28"/>
    </w:rPr>
  </w:style>
  <w:style w:type="character" w:customStyle="1" w:styleId="72">
    <w:name w:val="article1"/>
    <w:qFormat/>
    <w:uiPriority w:val="0"/>
    <w:rPr>
      <w:sz w:val="21"/>
      <w:szCs w:val="21"/>
    </w:rPr>
  </w:style>
  <w:style w:type="character" w:customStyle="1" w:styleId="73">
    <w:name w:val="标题 1 Char"/>
    <w:link w:val="5"/>
    <w:qFormat/>
    <w:uiPriority w:val="9"/>
    <w:rPr>
      <w:rFonts w:eastAsia="宋体"/>
      <w:b/>
      <w:kern w:val="2"/>
      <w:sz w:val="18"/>
      <w:szCs w:val="24"/>
      <w:lang w:val="en-US" w:eastAsia="zh-CN" w:bidi="ar-SA"/>
    </w:rPr>
  </w:style>
  <w:style w:type="character" w:customStyle="1" w:styleId="74">
    <w:name w:val="页眉 Char"/>
    <w:link w:val="22"/>
    <w:qFormat/>
    <w:uiPriority w:val="99"/>
    <w:rPr>
      <w:kern w:val="2"/>
      <w:sz w:val="18"/>
      <w:szCs w:val="18"/>
    </w:rPr>
  </w:style>
  <w:style w:type="character" w:customStyle="1" w:styleId="75">
    <w:name w:val="ca-4"/>
    <w:basedOn w:val="28"/>
    <w:qFormat/>
    <w:uiPriority w:val="0"/>
  </w:style>
  <w:style w:type="character" w:customStyle="1" w:styleId="76">
    <w:name w:val="apple-style-span"/>
    <w:basedOn w:val="28"/>
    <w:qFormat/>
    <w:uiPriority w:val="0"/>
  </w:style>
  <w:style w:type="character" w:customStyle="1" w:styleId="77">
    <w:name w:val="mark12"/>
    <w:basedOn w:val="28"/>
    <w:qFormat/>
    <w:uiPriority w:val="0"/>
  </w:style>
  <w:style w:type="character" w:customStyle="1" w:styleId="78">
    <w:name w:val="标题 2 字符"/>
    <w:link w:val="6"/>
    <w:qFormat/>
    <w:uiPriority w:val="0"/>
    <w:rPr>
      <w:b/>
      <w:kern w:val="2"/>
      <w:sz w:val="18"/>
      <w:szCs w:val="24"/>
    </w:rPr>
  </w:style>
  <w:style w:type="character" w:customStyle="1" w:styleId="79">
    <w:name w:val="ca-2"/>
    <w:basedOn w:val="28"/>
    <w:qFormat/>
    <w:uiPriority w:val="0"/>
  </w:style>
  <w:style w:type="character" w:customStyle="1" w:styleId="80">
    <w:name w:val="正文文本缩进 2 Char"/>
    <w:link w:val="19"/>
    <w:qFormat/>
    <w:uiPriority w:val="0"/>
    <w:rPr>
      <w:kern w:val="2"/>
      <w:sz w:val="21"/>
      <w:szCs w:val="24"/>
    </w:rPr>
  </w:style>
  <w:style w:type="paragraph" w:customStyle="1" w:styleId="81">
    <w:name w:val="纯文本1"/>
    <w:basedOn w:val="1"/>
    <w:qFormat/>
    <w:uiPriority w:val="0"/>
    <w:rPr>
      <w:rFonts w:ascii="宋体" w:hAnsi="Courier New"/>
      <w:szCs w:val="21"/>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正文2"/>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4">
    <w:name w:val="列出段落1"/>
    <w:basedOn w:val="1"/>
    <w:unhideWhenUsed/>
    <w:qFormat/>
    <w:uiPriority w:val="99"/>
    <w:pPr>
      <w:ind w:firstLine="420" w:firstLineChars="200"/>
    </w:pPr>
    <w:rPr>
      <w:rFonts w:ascii="宋体" w:hAnsi="Calibri"/>
      <w:kern w:val="0"/>
      <w:sz w:val="34"/>
      <w:szCs w:val="22"/>
    </w:rPr>
  </w:style>
  <w:style w:type="paragraph" w:customStyle="1" w:styleId="85">
    <w:name w:val="附件正文"/>
    <w:basedOn w:val="1"/>
    <w:qFormat/>
    <w:uiPriority w:val="0"/>
    <w:pPr>
      <w:snapToGrid w:val="0"/>
      <w:spacing w:line="260" w:lineRule="exact"/>
      <w:jc w:val="center"/>
    </w:pPr>
    <w:rPr>
      <w:rFonts w:ascii="华文仿宋" w:hAnsi="华文仿宋" w:eastAsia="华文仿宋"/>
      <w:b/>
      <w:kern w:val="0"/>
      <w:szCs w:val="21"/>
    </w:rPr>
  </w:style>
  <w:style w:type="paragraph" w:customStyle="1" w:styleId="86">
    <w:name w:val="Char1"/>
    <w:basedOn w:val="1"/>
    <w:qFormat/>
    <w:uiPriority w:val="0"/>
    <w:pPr>
      <w:ind w:left="359" w:leftChars="171" w:firstLine="560" w:firstLineChars="200"/>
    </w:pPr>
  </w:style>
  <w:style w:type="paragraph" w:customStyle="1" w:styleId="87">
    <w:name w:val="正文首行缩进两字符"/>
    <w:basedOn w:val="1"/>
    <w:qFormat/>
    <w:uiPriority w:val="0"/>
    <w:pPr>
      <w:spacing w:line="360" w:lineRule="auto"/>
      <w:ind w:firstLine="200" w:firstLineChars="200"/>
    </w:pPr>
    <w:rPr>
      <w:rFonts w:ascii="宋体" w:hAnsi="Calibri"/>
      <w:kern w:val="0"/>
      <w:sz w:val="34"/>
      <w:szCs w:val="22"/>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_Style 3"/>
    <w:basedOn w:val="1"/>
    <w:qFormat/>
    <w:uiPriority w:val="34"/>
    <w:pPr>
      <w:ind w:firstLine="420" w:firstLineChars="200"/>
    </w:pPr>
    <w:rPr>
      <w:rFonts w:ascii="Calibri" w:hAnsi="Calibri"/>
      <w:kern w:val="0"/>
      <w:sz w:val="34"/>
    </w:rPr>
  </w:style>
  <w:style w:type="paragraph" w:customStyle="1" w:styleId="91">
    <w:name w:val="00C2FCAA2DF749E1AD1DF710F7BE298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2">
    <w:name w:val="目录 11"/>
    <w:basedOn w:val="1"/>
    <w:next w:val="1"/>
    <w:qFormat/>
    <w:uiPriority w:val="39"/>
    <w:rPr>
      <w:rFonts w:ascii="宋体" w:hAnsi="Calibri"/>
      <w:kern w:val="0"/>
      <w:sz w:val="34"/>
      <w:szCs w:val="22"/>
    </w:rPr>
  </w:style>
  <w:style w:type="paragraph" w:customStyle="1" w:styleId="93">
    <w:name w:val="pa-3"/>
    <w:basedOn w:val="1"/>
    <w:qFormat/>
    <w:uiPriority w:val="0"/>
    <w:pPr>
      <w:widowControl/>
      <w:spacing w:before="150" w:after="150"/>
      <w:jc w:val="left"/>
    </w:pPr>
    <w:rPr>
      <w:rFonts w:ascii="宋体" w:hAnsi="宋体" w:cs="宋体"/>
      <w:kern w:val="0"/>
      <w:sz w:val="24"/>
    </w:rPr>
  </w:style>
  <w:style w:type="paragraph" w:customStyle="1" w:styleId="94">
    <w:name w:val="p17"/>
    <w:basedOn w:val="1"/>
    <w:qFormat/>
    <w:uiPriority w:val="0"/>
    <w:pPr>
      <w:widowControl/>
    </w:pPr>
    <w:rPr>
      <w:rFonts w:ascii="宋体" w:hAnsi="宋体" w:cs="宋体"/>
      <w:kern w:val="0"/>
      <w:szCs w:val="21"/>
    </w:rPr>
  </w:style>
  <w:style w:type="paragraph" w:customStyle="1" w:styleId="95">
    <w:name w:val="pa-2"/>
    <w:basedOn w:val="1"/>
    <w:qFormat/>
    <w:uiPriority w:val="0"/>
    <w:pPr>
      <w:widowControl/>
      <w:spacing w:before="150" w:after="150"/>
      <w:jc w:val="left"/>
    </w:pPr>
    <w:rPr>
      <w:rFonts w:ascii="宋体" w:hAnsi="宋体" w:cs="宋体"/>
      <w:kern w:val="0"/>
      <w:sz w:val="24"/>
    </w:rPr>
  </w:style>
  <w:style w:type="paragraph" w:customStyle="1" w:styleId="96">
    <w:name w:val="样式 首行缩进:  2 字符"/>
    <w:basedOn w:val="1"/>
    <w:qFormat/>
    <w:uiPriority w:val="0"/>
    <w:pPr>
      <w:spacing w:line="400" w:lineRule="exact"/>
      <w:ind w:firstLine="200" w:firstLineChars="200"/>
    </w:pPr>
    <w:rPr>
      <w:rFonts w:cs="宋体"/>
      <w:sz w:val="24"/>
    </w:rPr>
  </w:style>
  <w:style w:type="paragraph" w:customStyle="1" w:styleId="97">
    <w:name w:val="表格"/>
    <w:basedOn w:val="1"/>
    <w:qFormat/>
    <w:uiPriority w:val="0"/>
    <w:pPr>
      <w:spacing w:line="400" w:lineRule="exact"/>
    </w:pPr>
    <w:rPr>
      <w:rFonts w:ascii="宋体" w:hAnsi="Calibri"/>
      <w:kern w:val="0"/>
      <w:sz w:val="24"/>
      <w:szCs w:val="22"/>
    </w:rPr>
  </w:style>
  <w:style w:type="paragraph" w:customStyle="1" w:styleId="98">
    <w:name w:val="pa-4"/>
    <w:basedOn w:val="1"/>
    <w:qFormat/>
    <w:uiPriority w:val="0"/>
    <w:pPr>
      <w:widowControl/>
      <w:spacing w:before="150" w:after="150"/>
      <w:jc w:val="left"/>
    </w:pPr>
    <w:rPr>
      <w:rFonts w:ascii="宋体" w:hAnsi="宋体" w:cs="宋体"/>
      <w:kern w:val="0"/>
      <w:sz w:val="24"/>
    </w:rPr>
  </w:style>
  <w:style w:type="paragraph" w:customStyle="1" w:styleId="99">
    <w:name w:val="列表段落"/>
    <w:basedOn w:val="1"/>
    <w:qFormat/>
    <w:uiPriority w:val="0"/>
    <w:pPr>
      <w:ind w:firstLine="420" w:firstLineChars="200"/>
    </w:pPr>
  </w:style>
  <w:style w:type="paragraph" w:customStyle="1" w:styleId="100">
    <w:name w:val="p15"/>
    <w:basedOn w:val="1"/>
    <w:qFormat/>
    <w:uiPriority w:val="0"/>
    <w:pPr>
      <w:widowControl/>
      <w:spacing w:before="100" w:after="100" w:line="360" w:lineRule="auto"/>
    </w:pPr>
    <w:rPr>
      <w:rFonts w:ascii="宋体" w:hAnsi="宋体" w:cs="宋体"/>
      <w:kern w:val="0"/>
      <w:sz w:val="24"/>
    </w:rPr>
  </w:style>
  <w:style w:type="paragraph" w:customStyle="1" w:styleId="101">
    <w:name w:val="Char"/>
    <w:basedOn w:val="1"/>
    <w:qFormat/>
    <w:uiPriority w:val="0"/>
    <w:pPr>
      <w:spacing w:line="240" w:lineRule="atLeast"/>
      <w:ind w:left="420" w:firstLine="420"/>
    </w:pPr>
  </w:style>
  <w:style w:type="paragraph" w:customStyle="1" w:styleId="10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3">
    <w:name w:val="Table Paragraph"/>
    <w:basedOn w:val="1"/>
    <w:qFormat/>
    <w:uiPriority w:val="1"/>
    <w:rPr>
      <w:rFonts w:ascii="Noto Sans CJK JP Regular" w:hAnsi="Noto Sans CJK JP Regular" w:eastAsia="Noto Sans CJK JP Regular" w:cs="Noto Sans CJK JP Regular"/>
    </w:rPr>
  </w:style>
  <w:style w:type="paragraph" w:customStyle="1" w:styleId="104">
    <w:name w:val="Char Char Char Char"/>
    <w:basedOn w:val="11"/>
    <w:qFormat/>
    <w:uiPriority w:val="0"/>
    <w:pPr>
      <w:adjustRightInd w:val="0"/>
      <w:snapToGrid w:val="0"/>
      <w:spacing w:line="360" w:lineRule="auto"/>
    </w:pPr>
    <w:rPr>
      <w:rFonts w:ascii="仿宋_GB2312" w:eastAsia="仿宋_GB2312"/>
      <w:sz w:val="24"/>
    </w:rPr>
  </w:style>
  <w:style w:type="paragraph" w:customStyle="1" w:styleId="105">
    <w:name w:val="_Style 1"/>
    <w:basedOn w:val="1"/>
    <w:qFormat/>
    <w:uiPriority w:val="0"/>
    <w:pPr>
      <w:ind w:firstLine="420" w:firstLineChars="200"/>
    </w:pPr>
    <w:rPr>
      <w:sz w:val="18"/>
      <w:szCs w:val="18"/>
    </w:rPr>
  </w:style>
  <w:style w:type="paragraph" w:customStyle="1" w:styleId="106">
    <w:name w:val="p0"/>
    <w:basedOn w:val="1"/>
    <w:qFormat/>
    <w:uiPriority w:val="0"/>
    <w:pPr>
      <w:widowControl/>
    </w:pPr>
    <w:rPr>
      <w:rFonts w:ascii="Calibri" w:hAnsi="Calibri" w:cs="宋体"/>
      <w:kern w:val="0"/>
      <w:szCs w:val="21"/>
    </w:rPr>
  </w:style>
  <w:style w:type="paragraph" w:customStyle="1" w:styleId="107">
    <w:name w:val="pa-6"/>
    <w:basedOn w:val="1"/>
    <w:qFormat/>
    <w:uiPriority w:val="0"/>
    <w:pPr>
      <w:widowControl/>
      <w:spacing w:before="150" w:after="150"/>
      <w:jc w:val="left"/>
    </w:pPr>
    <w:rPr>
      <w:rFonts w:ascii="宋体" w:hAnsi="宋体" w:cs="宋体"/>
      <w:kern w:val="0"/>
      <w:sz w:val="24"/>
    </w:rPr>
  </w:style>
  <w:style w:type="paragraph" w:customStyle="1" w:styleId="108">
    <w:name w:val="_正文段落"/>
    <w:basedOn w:val="1"/>
    <w:qFormat/>
    <w:uiPriority w:val="0"/>
    <w:pPr>
      <w:spacing w:line="360" w:lineRule="auto"/>
    </w:pPr>
    <w:rPr>
      <w:rFonts w:ascii="宋体" w:eastAsia="仿宋_GB2312"/>
      <w:kern w:val="0"/>
      <w:sz w:val="28"/>
    </w:rPr>
  </w:style>
  <w:style w:type="paragraph" w:customStyle="1" w:styleId="109">
    <w:name w:val="pa-1"/>
    <w:basedOn w:val="1"/>
    <w:qFormat/>
    <w:uiPriority w:val="0"/>
    <w:pPr>
      <w:widowControl/>
      <w:spacing w:before="150" w:after="150"/>
      <w:jc w:val="left"/>
    </w:pPr>
    <w:rPr>
      <w:rFonts w:ascii="宋体" w:hAnsi="宋体" w:cs="宋体"/>
      <w:kern w:val="0"/>
      <w:sz w:val="24"/>
    </w:rPr>
  </w:style>
  <w:style w:type="paragraph" w:customStyle="1" w:styleId="110">
    <w:name w:val="pa-0"/>
    <w:basedOn w:val="1"/>
    <w:qFormat/>
    <w:uiPriority w:val="0"/>
    <w:pPr>
      <w:widowControl/>
      <w:spacing w:before="150" w:after="150"/>
      <w:jc w:val="left"/>
    </w:pPr>
    <w:rPr>
      <w:rFonts w:ascii="宋体" w:hAnsi="宋体" w:cs="宋体"/>
      <w:kern w:val="0"/>
      <w:sz w:val="24"/>
    </w:rPr>
  </w:style>
  <w:style w:type="paragraph" w:customStyle="1" w:styleId="111">
    <w:name w:val="列出段落3"/>
    <w:basedOn w:val="1"/>
    <w:qFormat/>
    <w:uiPriority w:val="99"/>
    <w:pPr>
      <w:ind w:firstLine="420" w:firstLineChars="200"/>
    </w:pPr>
  </w:style>
  <w:style w:type="paragraph" w:customStyle="1" w:styleId="112">
    <w:name w:val="列出段落4"/>
    <w:basedOn w:val="1"/>
    <w:qFormat/>
    <w:uiPriority w:val="99"/>
    <w:pPr>
      <w:ind w:firstLine="420" w:firstLineChars="200"/>
    </w:pPr>
  </w:style>
  <w:style w:type="paragraph" w:customStyle="1" w:styleId="11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4">
    <w:name w:val="font41"/>
    <w:basedOn w:val="28"/>
    <w:qFormat/>
    <w:uiPriority w:val="0"/>
    <w:rPr>
      <w:rFonts w:hint="default" w:ascii="Arial" w:hAnsi="Arial" w:cs="Arial"/>
      <w:color w:val="000000"/>
      <w:sz w:val="18"/>
      <w:szCs w:val="18"/>
      <w:u w:val="none"/>
    </w:rPr>
  </w:style>
  <w:style w:type="character" w:customStyle="1" w:styleId="115">
    <w:name w:val="font51"/>
    <w:basedOn w:val="28"/>
    <w:qFormat/>
    <w:uiPriority w:val="0"/>
    <w:rPr>
      <w:rFonts w:hint="eastAsia" w:ascii="宋体" w:hAnsi="宋体" w:eastAsia="宋体" w:cs="宋体"/>
      <w:color w:val="000000"/>
      <w:sz w:val="20"/>
      <w:szCs w:val="20"/>
      <w:u w:val="none"/>
    </w:rPr>
  </w:style>
  <w:style w:type="paragraph" w:customStyle="1" w:styleId="116">
    <w:name w:val="CD正文"/>
    <w:basedOn w:val="1"/>
    <w:qFormat/>
    <w:uiPriority w:val="0"/>
    <w:pPr>
      <w:spacing w:line="360" w:lineRule="auto"/>
      <w:ind w:firstLine="493"/>
    </w:pPr>
    <w:rPr>
      <w:sz w:val="30"/>
      <w:szCs w:val="30"/>
    </w:rPr>
  </w:style>
  <w:style w:type="paragraph" w:customStyle="1" w:styleId="117">
    <w:name w:val="列出段落5"/>
    <w:basedOn w:val="1"/>
    <w:qFormat/>
    <w:uiPriority w:val="99"/>
    <w:pPr>
      <w:ind w:firstLine="420" w:firstLineChars="200"/>
    </w:pPr>
  </w:style>
  <w:style w:type="character" w:customStyle="1" w:styleId="118">
    <w:name w:val="标题 2 Char"/>
    <w:link w:val="6"/>
    <w:qFormat/>
    <w:uiPriority w:val="0"/>
    <w:rPr>
      <w:rFonts w:ascii="Calibri" w:hAnsi="Calibri" w:eastAsia="仿宋"/>
      <w:b/>
      <w:sz w:val="24"/>
    </w:rPr>
  </w:style>
  <w:style w:type="paragraph" w:customStyle="1" w:styleId="119">
    <w:name w:val="Body text|1"/>
    <w:basedOn w:val="1"/>
    <w:qFormat/>
    <w:uiPriority w:val="0"/>
    <w:pPr>
      <w:spacing w:line="413" w:lineRule="auto"/>
      <w:ind w:firstLine="100"/>
    </w:pPr>
    <w:rPr>
      <w:rFonts w:ascii="MingLiU" w:hAnsi="MingLiU" w:eastAsia="MingLiU" w:cs="MingLiU"/>
      <w:sz w:val="20"/>
      <w:szCs w:val="20"/>
      <w:lang w:val="zh-TW" w:eastAsia="zh-TW" w:bidi="zh-TW"/>
    </w:rPr>
  </w:style>
  <w:style w:type="paragraph" w:customStyle="1" w:styleId="120">
    <w:name w:val="_Style 6"/>
    <w:basedOn w:val="5"/>
    <w:next w:val="1"/>
    <w:qFormat/>
    <w:uiPriority w:val="0"/>
    <w:pPr>
      <w:outlineLvl w:val="9"/>
    </w:pPr>
  </w:style>
  <w:style w:type="paragraph" w:customStyle="1" w:styleId="121">
    <w:name w:val="WPSOffice手动目录 1"/>
    <w:qFormat/>
    <w:uiPriority w:val="0"/>
    <w:rPr>
      <w:rFonts w:ascii="Times New Roman" w:hAnsi="Times New Roman" w:eastAsia="宋体" w:cs="Times New Roman"/>
      <w:lang w:val="en-US" w:eastAsia="zh-CN" w:bidi="ar-SA"/>
    </w:rPr>
  </w:style>
  <w:style w:type="paragraph" w:customStyle="1" w:styleId="122">
    <w:name w:val="null3"/>
    <w:qFormat/>
    <w:uiPriority w:val="0"/>
    <w:rPr>
      <w:rFonts w:hint="eastAsia" w:ascii="Calibri" w:hAnsi="Calibri" w:eastAsia="宋体" w:cs="Times New Roman"/>
      <w:lang w:val="en-US" w:eastAsia="zh-CN" w:bidi="ar-SA"/>
    </w:rPr>
  </w:style>
  <w:style w:type="paragraph" w:customStyle="1" w:styleId="123">
    <w:name w:val="List Paragraph_4c445914-b6cf-4221-9e53-f80e9b0e7c37"/>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109</Pages>
  <Words>48659</Words>
  <Characters>54164</Characters>
  <Lines>432</Lines>
  <Paragraphs>121</Paragraphs>
  <TotalTime>3</TotalTime>
  <ScaleCrop>false</ScaleCrop>
  <LinksUpToDate>false</LinksUpToDate>
  <CharactersWithSpaces>54899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2019-11-27T22:26:00Z</dcterms:created>
  <dc:creator>88999</dc:creator>
  <cp:lastModifiedBy>久润招标</cp:lastModifiedBy>
  <cp:lastPrinted>2024-06-07T03:41:00Z</cp:lastPrinted>
  <dcterms:modified xsi:type="dcterms:W3CDTF">2024-06-12T01:30:06Z</dcterms:modified>
  <dc:subject>货物询价采购文件</dc:subject>
  <dc:title>7788</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80C683AD96DD43789C0154CE5A48A4AF_13</vt:lpwstr>
  </property>
  <property fmtid="{D5CDD505-2E9C-101B-9397-08002B2CF9AE}" pid="4" name="commondata">
    <vt:lpwstr>eyJoZGlkIjoiZTQzNzAzM2IxNGM3MzA4OWQ3ZmVmZWJmY2FkNTE0Y2YifQ==</vt:lpwstr>
  </property>
</Properties>
</file>