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Times New Roman"/>
          <w:b/>
          <w:bCs/>
          <w:sz w:val="32"/>
          <w:szCs w:val="32"/>
        </w:rPr>
      </w:pPr>
      <w:bookmarkStart w:id="0" w:name="_GoBack"/>
      <w:bookmarkEnd w:id="0"/>
      <w:r>
        <w:rPr>
          <w:rFonts w:hint="eastAsia" w:ascii="仿宋" w:hAnsi="仿宋" w:eastAsia="仿宋" w:cs="Times New Roman"/>
          <w:b/>
          <w:bCs/>
          <w:sz w:val="32"/>
          <w:szCs w:val="32"/>
        </w:rPr>
        <w:t>采购项目技术、服务、采购合同内容条款及其他商务要求</w:t>
      </w:r>
    </w:p>
    <w:p>
      <w:pPr>
        <w:spacing w:before="156" w:beforeLines="50" w:after="156" w:afterLines="50" w:line="360" w:lineRule="auto"/>
        <w:rPr>
          <w:rFonts w:hint="eastAsia" w:ascii="仿宋" w:hAnsi="仿宋" w:eastAsia="仿宋" w:cs="Times New Roman"/>
          <w:b/>
          <w:sz w:val="24"/>
          <w:szCs w:val="24"/>
        </w:rPr>
      </w:pPr>
    </w:p>
    <w:p>
      <w:pPr>
        <w:spacing w:before="156" w:beforeLines="50" w:after="156" w:afterLines="50" w:line="360" w:lineRule="auto"/>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前提：</w:t>
      </w:r>
      <w:r>
        <w:rPr>
          <w:rFonts w:ascii="仿宋" w:hAnsi="仿宋" w:eastAsia="仿宋" w:cs="宋体"/>
          <w:b/>
          <w:bCs/>
          <w:kern w:val="0"/>
          <w:sz w:val="24"/>
          <w:szCs w:val="24"/>
        </w:rPr>
        <w:t>本章采购需求中标注“</w:t>
      </w:r>
      <w:r>
        <w:rPr>
          <w:rFonts w:hint="eastAsia" w:ascii="仿宋" w:hAnsi="仿宋" w:eastAsia="仿宋" w:cs="宋体"/>
          <w:b/>
          <w:bCs/>
          <w:kern w:val="0"/>
          <w:sz w:val="24"/>
          <w:szCs w:val="24"/>
        </w:rPr>
        <w:t>★”</w:t>
      </w:r>
      <w:r>
        <w:rPr>
          <w:rFonts w:ascii="仿宋" w:hAnsi="仿宋" w:eastAsia="仿宋" w:cs="宋体"/>
          <w:b/>
          <w:bCs/>
          <w:kern w:val="0"/>
          <w:sz w:val="24"/>
          <w:szCs w:val="24"/>
        </w:rPr>
        <w:t>号的条款为本次谈判采购项目的实质性要求，供应商应全部满足。</w:t>
      </w:r>
    </w:p>
    <w:p>
      <w:pPr>
        <w:spacing w:before="156" w:beforeLines="50" w:after="156" w:afterLines="50" w:line="360" w:lineRule="auto"/>
        <w:outlineLvl w:val="1"/>
        <w:rPr>
          <w:rFonts w:ascii="仿宋" w:hAnsi="仿宋" w:eastAsia="仿宋" w:cs="Times New Roman"/>
          <w:b/>
          <w:sz w:val="24"/>
          <w:szCs w:val="24"/>
        </w:rPr>
      </w:pPr>
      <w:r>
        <w:rPr>
          <w:rFonts w:hint="eastAsia" w:ascii="仿宋" w:hAnsi="仿宋" w:eastAsia="仿宋" w:cs="Times New Roman"/>
          <w:b/>
          <w:sz w:val="24"/>
          <w:szCs w:val="24"/>
        </w:rPr>
        <w:t>一、项目概述</w:t>
      </w:r>
    </w:p>
    <w:p>
      <w:pPr>
        <w:spacing w:before="156" w:beforeLines="50" w:after="156" w:afterLines="50" w:line="360" w:lineRule="auto"/>
        <w:rPr>
          <w:rFonts w:ascii="仿宋" w:hAnsi="仿宋" w:eastAsia="仿宋" w:cs="Times New Roman"/>
          <w:sz w:val="24"/>
          <w:szCs w:val="24"/>
        </w:rPr>
      </w:pPr>
      <w:r>
        <w:rPr>
          <w:rFonts w:hint="eastAsia" w:ascii="仿宋" w:hAnsi="仿宋" w:eastAsia="仿宋" w:cs="Times New Roman"/>
          <w:sz w:val="24"/>
          <w:szCs w:val="24"/>
        </w:rPr>
        <w:t>1、项目概况：本项目共一个包，采购一批非挂网医疗耗材。</w:t>
      </w:r>
    </w:p>
    <w:p>
      <w:pPr>
        <w:spacing w:before="156" w:beforeLines="50" w:after="156" w:afterLines="50" w:line="360" w:lineRule="auto"/>
        <w:rPr>
          <w:rFonts w:hint="eastAsia" w:ascii="仿宋" w:hAnsi="仿宋" w:eastAsia="仿宋" w:cs="Times New Roman"/>
          <w:sz w:val="24"/>
          <w:szCs w:val="24"/>
        </w:rPr>
      </w:pPr>
    </w:p>
    <w:p>
      <w:pPr>
        <w:spacing w:before="156" w:beforeLines="50" w:after="156" w:afterLines="50" w:line="360" w:lineRule="auto"/>
        <w:outlineLvl w:val="1"/>
        <w:rPr>
          <w:rFonts w:ascii="仿宋" w:hAnsi="仿宋" w:eastAsia="仿宋" w:cs="Times New Roman"/>
          <w:bCs/>
          <w:sz w:val="24"/>
          <w:szCs w:val="24"/>
        </w:rPr>
      </w:pPr>
      <w:r>
        <w:rPr>
          <w:rFonts w:hint="eastAsia" w:ascii="仿宋" w:hAnsi="仿宋" w:eastAsia="仿宋" w:cs="Times New Roman"/>
          <w:b/>
          <w:sz w:val="24"/>
          <w:szCs w:val="24"/>
        </w:rPr>
        <w:t>★二、商务要求</w:t>
      </w:r>
    </w:p>
    <w:p>
      <w:pPr>
        <w:spacing w:before="156" w:beforeLines="50" w:after="156" w:afterLines="50" w:line="360" w:lineRule="auto"/>
        <w:rPr>
          <w:rFonts w:hint="eastAsia" w:ascii="仿宋" w:hAnsi="仿宋" w:eastAsia="仿宋" w:cs="Times New Roman"/>
          <w:bCs/>
          <w:sz w:val="24"/>
          <w:szCs w:val="24"/>
        </w:rPr>
      </w:pPr>
      <w:r>
        <w:rPr>
          <w:rFonts w:hint="eastAsia" w:ascii="仿宋" w:hAnsi="仿宋" w:eastAsia="仿宋" w:cs="Times New Roman"/>
          <w:bCs/>
          <w:sz w:val="24"/>
          <w:szCs w:val="24"/>
        </w:rPr>
        <w:t>1、交货期限：自合同签订之日起一年，合同期，供应商需根据采购人实际供货通知执行，供应商应于收到通知后2小时内响应，并在24小时内送到采购人指定地点。</w:t>
      </w:r>
    </w:p>
    <w:p>
      <w:pPr>
        <w:spacing w:before="156" w:beforeLines="50" w:after="156" w:afterLines="50" w:line="360" w:lineRule="auto"/>
        <w:rPr>
          <w:rFonts w:hint="eastAsia"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、交货地点：富顺县中医医院指定地点（含富达路院区、东区分院和其他临时地点）。</w:t>
      </w:r>
    </w:p>
    <w:p>
      <w:pPr>
        <w:spacing w:before="156" w:beforeLines="50" w:after="156" w:afterLines="50" w:line="360" w:lineRule="auto"/>
        <w:rPr>
          <w:rFonts w:ascii="仿宋" w:hAnsi="仿宋" w:eastAsia="仿宋" w:cs="Times New Roman"/>
          <w:bCs/>
          <w:sz w:val="24"/>
          <w:szCs w:val="24"/>
        </w:rPr>
      </w:pPr>
      <w:r>
        <w:rPr>
          <w:rFonts w:hint="eastAsia" w:ascii="仿宋" w:hAnsi="仿宋" w:eastAsia="仿宋" w:cs="Times New Roman"/>
          <w:bCs/>
          <w:sz w:val="24"/>
          <w:szCs w:val="24"/>
        </w:rPr>
        <w:t>3、付款方法和条件：</w:t>
      </w:r>
    </w:p>
    <w:p>
      <w:pPr>
        <w:spacing w:before="156" w:beforeLines="50" w:after="156" w:afterLines="50" w:line="360" w:lineRule="auto"/>
        <w:rPr>
          <w:rFonts w:hint="eastAsia" w:ascii="仿宋" w:hAnsi="仿宋" w:eastAsia="仿宋" w:cs="Times New Roman"/>
          <w:bCs/>
          <w:sz w:val="24"/>
          <w:szCs w:val="24"/>
        </w:rPr>
      </w:pPr>
      <w:r>
        <w:rPr>
          <w:rFonts w:ascii="仿宋" w:hAnsi="仿宋" w:eastAsia="仿宋" w:cs="Times New Roman"/>
          <w:bCs/>
          <w:sz w:val="24"/>
          <w:szCs w:val="24"/>
        </w:rPr>
        <w:t>3.1</w:t>
      </w:r>
      <w:r>
        <w:rPr>
          <w:rFonts w:hint="eastAsia" w:ascii="仿宋" w:hAnsi="仿宋" w:eastAsia="仿宋" w:cs="Times New Roman"/>
          <w:bCs/>
          <w:sz w:val="24"/>
          <w:szCs w:val="24"/>
        </w:rPr>
        <w:t>合同签订后，每月根据成交人实际提供的耗材数量及成交单价据实结算，次月收到发票及相关凭证后30日内，支付上月结算货款。最终结算总金额不超过本项目合同总金额。</w:t>
      </w:r>
    </w:p>
    <w:p>
      <w:pPr>
        <w:spacing w:before="156" w:beforeLines="50" w:after="156" w:afterLines="50" w:line="360" w:lineRule="auto"/>
        <w:rPr>
          <w:rFonts w:hint="eastAsia" w:ascii="仿宋" w:hAnsi="仿宋" w:eastAsia="仿宋" w:cs="Times New Roman"/>
          <w:bCs/>
          <w:sz w:val="24"/>
          <w:szCs w:val="24"/>
        </w:rPr>
      </w:pPr>
      <w:r>
        <w:rPr>
          <w:rFonts w:ascii="仿宋" w:hAnsi="仿宋" w:eastAsia="仿宋" w:cs="Times New Roman"/>
          <w:bCs/>
          <w:sz w:val="24"/>
          <w:szCs w:val="24"/>
        </w:rPr>
        <w:t>3.2</w:t>
      </w:r>
      <w:r>
        <w:rPr>
          <w:rFonts w:hint="eastAsia" w:ascii="仿宋" w:hAnsi="仿宋" w:eastAsia="仿宋" w:cs="Times New Roman"/>
          <w:bCs/>
          <w:sz w:val="24"/>
          <w:szCs w:val="24"/>
        </w:rPr>
        <w:t>每次付款前，成交人须向采购人出具合法有效完整的发票及凭证资料后进行支付结算，付款方式均采用公对公的银行转账，采购人接受转账的开户信息以本项目采购合同载明的为准。如因成交人未按照要求提供合法有效的发票导致逾期付款的，不视为采购人违约，采购人不承担任何责任。</w:t>
      </w:r>
    </w:p>
    <w:p>
      <w:pPr>
        <w:spacing w:before="156" w:beforeLines="50" w:after="156" w:afterLines="50" w:line="360" w:lineRule="auto"/>
        <w:rPr>
          <w:rFonts w:ascii="仿宋" w:hAnsi="仿宋" w:eastAsia="仿宋" w:cs="Times New Roman"/>
          <w:bCs/>
          <w:sz w:val="24"/>
          <w:szCs w:val="24"/>
        </w:rPr>
      </w:pPr>
      <w:r>
        <w:rPr>
          <w:rFonts w:hint="eastAsia" w:ascii="仿宋" w:hAnsi="仿宋" w:eastAsia="仿宋" w:cs="Times New Roman"/>
          <w:bCs/>
          <w:sz w:val="24"/>
          <w:szCs w:val="24"/>
        </w:rPr>
        <w:t>4、质量要求：</w:t>
      </w:r>
    </w:p>
    <w:p>
      <w:pPr>
        <w:spacing w:before="156" w:beforeLines="50" w:after="156" w:afterLines="50" w:line="360" w:lineRule="auto"/>
        <w:rPr>
          <w:rFonts w:hint="eastAsia" w:ascii="仿宋" w:hAnsi="仿宋" w:eastAsia="仿宋" w:cs="Times New Roman"/>
          <w:bCs/>
          <w:sz w:val="24"/>
          <w:szCs w:val="24"/>
        </w:rPr>
      </w:pPr>
      <w:r>
        <w:rPr>
          <w:rFonts w:hint="eastAsia" w:ascii="仿宋" w:hAnsi="仿宋" w:eastAsia="仿宋" w:cs="Times New Roman"/>
          <w:bCs/>
          <w:sz w:val="24"/>
          <w:szCs w:val="24"/>
        </w:rPr>
        <w:t>成交人提供货物应是全新的，未使用过的，并且是非长期积压的库存商品，所提供货物的有效期，除非采购人对有效期另有规定（采购人另有规定的按采购人要求执行），采购人收到耗材的时间距离耗材的有效期截止日原则上不得少于6个月。</w:t>
      </w:r>
    </w:p>
    <w:p>
      <w:pPr>
        <w:spacing w:before="156" w:beforeLines="50" w:after="156" w:afterLines="50" w:line="360" w:lineRule="auto"/>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、报价说明：</w:t>
      </w:r>
    </w:p>
    <w:p>
      <w:pPr>
        <w:spacing w:before="156" w:beforeLines="50" w:after="156" w:afterLines="50" w:line="360" w:lineRule="auto"/>
        <w:rPr>
          <w:rFonts w:hint="eastAsia" w:ascii="仿宋" w:hAnsi="仿宋" w:eastAsia="仿宋" w:cs="Times New Roman"/>
          <w:bCs/>
          <w:sz w:val="24"/>
          <w:szCs w:val="24"/>
        </w:rPr>
      </w:pPr>
      <w:r>
        <w:rPr>
          <w:rFonts w:hint="eastAsia" w:ascii="仿宋" w:hAnsi="仿宋" w:eastAsia="仿宋" w:cs="Times New Roman"/>
          <w:bCs/>
          <w:sz w:val="24"/>
          <w:szCs w:val="24"/>
        </w:rPr>
        <w:t>本项目供应商报价包含了货物设计、材料、制造、包装、运输等所有其他有关各项的含税费用，采购包试剂配套设备的性能验证、维修、保养、校准等一切费用。</w:t>
      </w:r>
    </w:p>
    <w:p>
      <w:pPr>
        <w:spacing w:before="156" w:beforeLines="50" w:after="156" w:afterLines="50" w:line="360" w:lineRule="auto"/>
        <w:rPr>
          <w:rFonts w:ascii="仿宋" w:hAnsi="仿宋" w:eastAsia="仿宋" w:cs="Times New Roman"/>
          <w:bCs/>
          <w:sz w:val="24"/>
          <w:szCs w:val="24"/>
        </w:rPr>
      </w:pPr>
      <w:r>
        <w:rPr>
          <w:rFonts w:hint="eastAsia" w:ascii="仿宋" w:hAnsi="仿宋" w:eastAsia="仿宋" w:cs="Times New Roman"/>
          <w:bCs/>
          <w:sz w:val="24"/>
          <w:szCs w:val="24"/>
        </w:rPr>
        <w:t>6、其他要求：</w:t>
      </w:r>
    </w:p>
    <w:p>
      <w:pPr>
        <w:spacing w:before="156" w:beforeLines="50" w:after="156" w:afterLines="50" w:line="360" w:lineRule="auto"/>
        <w:rPr>
          <w:rFonts w:hint="eastAsia" w:ascii="仿宋" w:hAnsi="仿宋" w:eastAsia="仿宋" w:cs="Times New Roman"/>
          <w:bCs/>
          <w:sz w:val="24"/>
          <w:szCs w:val="24"/>
        </w:rPr>
      </w:pPr>
      <w:r>
        <w:rPr>
          <w:rFonts w:hint="eastAsia" w:ascii="仿宋" w:hAnsi="仿宋" w:eastAsia="仿宋" w:cs="Times New Roman"/>
          <w:bCs/>
          <w:sz w:val="24"/>
          <w:szCs w:val="24"/>
        </w:rPr>
        <w:t>6</w:t>
      </w:r>
      <w:r>
        <w:rPr>
          <w:rFonts w:ascii="仿宋" w:hAnsi="仿宋" w:eastAsia="仿宋" w:cs="Times New Roman"/>
          <w:bCs/>
          <w:sz w:val="24"/>
          <w:szCs w:val="24"/>
        </w:rPr>
        <w:t>.1</w:t>
      </w:r>
      <w:r>
        <w:rPr>
          <w:rFonts w:hint="eastAsia" w:ascii="仿宋" w:hAnsi="仿宋" w:eastAsia="仿宋" w:cs="Times New Roman"/>
          <w:bCs/>
          <w:sz w:val="24"/>
          <w:szCs w:val="24"/>
        </w:rPr>
        <w:t>本项目所有采购产品，若在合同有效期内，需根据国家相关政策新纳入挂网采购范围内的，则自动中止采购相关产品，按国家相关政策执行。</w:t>
      </w:r>
    </w:p>
    <w:p>
      <w:pPr>
        <w:spacing w:before="156" w:beforeLines="50" w:after="156" w:afterLines="50" w:line="360" w:lineRule="auto"/>
        <w:rPr>
          <w:rFonts w:hint="eastAsia" w:ascii="仿宋" w:hAnsi="仿宋" w:eastAsia="仿宋" w:cs="Times New Roman"/>
          <w:bCs/>
          <w:sz w:val="24"/>
          <w:szCs w:val="24"/>
        </w:rPr>
      </w:pPr>
      <w:r>
        <w:rPr>
          <w:rFonts w:ascii="仿宋" w:hAnsi="仿宋" w:eastAsia="仿宋" w:cs="Times New Roman"/>
          <w:bCs/>
          <w:sz w:val="24"/>
          <w:szCs w:val="24"/>
        </w:rPr>
        <w:t>6.2</w:t>
      </w:r>
      <w:r>
        <w:rPr>
          <w:rFonts w:hint="eastAsia" w:ascii="仿宋" w:hAnsi="仿宋" w:eastAsia="仿宋" w:cs="Times New Roman"/>
          <w:bCs/>
          <w:sz w:val="24"/>
          <w:szCs w:val="24"/>
        </w:rPr>
        <w:t>供应商应按照采购合同规定的品牌、产地、质量、价格、规格、有效期及时供货。如成交后不能满足上述采购人需求，直接影响采购人正常工作的，对采购人造成直接或间接经济损失及负面影响的，将停止供应商供货资格，并按照相关法律及规定承担赔偿责任。</w:t>
      </w:r>
    </w:p>
    <w:p>
      <w:pPr>
        <w:spacing w:before="156" w:beforeLines="50" w:after="156" w:afterLines="50" w:line="360" w:lineRule="auto"/>
        <w:rPr>
          <w:rFonts w:ascii="仿宋" w:hAnsi="仿宋" w:eastAsia="仿宋" w:cs="Times New Roman"/>
          <w:bCs/>
          <w:sz w:val="24"/>
          <w:szCs w:val="24"/>
        </w:rPr>
      </w:pPr>
      <w:r>
        <w:rPr>
          <w:rFonts w:hint="eastAsia" w:ascii="仿宋" w:hAnsi="仿宋" w:eastAsia="仿宋" w:cs="Times New Roman"/>
          <w:bCs/>
          <w:sz w:val="24"/>
          <w:szCs w:val="24"/>
        </w:rPr>
        <w:t>7、特别说明：</w:t>
      </w:r>
    </w:p>
    <w:p>
      <w:pPr>
        <w:spacing w:before="156" w:beforeLines="50" w:after="156" w:afterLines="50" w:line="360" w:lineRule="auto"/>
        <w:rPr>
          <w:rFonts w:hint="eastAsia" w:ascii="仿宋" w:hAnsi="仿宋" w:eastAsia="仿宋" w:cs="Times New Roman"/>
          <w:bCs/>
          <w:sz w:val="24"/>
          <w:szCs w:val="24"/>
        </w:rPr>
      </w:pPr>
      <w:r>
        <w:rPr>
          <w:rFonts w:hint="eastAsia" w:ascii="仿宋" w:hAnsi="仿宋" w:eastAsia="仿宋" w:cs="Times New Roman"/>
          <w:bCs/>
          <w:sz w:val="24"/>
          <w:szCs w:val="24"/>
        </w:rPr>
        <w:t>本项目各包件清单中列举的物品为采购人主要采购物品（属于预估清单），各包件清单不代表采购的所有内容，供应商在服务期内须根据采购人实际需求提供相应物品，清单中未列举的物品，双方按照市场价比质比价确定采购价格。</w:t>
      </w:r>
    </w:p>
    <w:p>
      <w:pPr>
        <w:spacing w:before="156" w:beforeLines="50" w:after="156" w:afterLines="50" w:line="360" w:lineRule="auto"/>
        <w:rPr>
          <w:rFonts w:hint="eastAsia" w:ascii="仿宋" w:hAnsi="仿宋" w:eastAsia="仿宋" w:cs="Times New Roman"/>
          <w:bCs/>
          <w:sz w:val="24"/>
          <w:szCs w:val="24"/>
        </w:rPr>
      </w:pPr>
    </w:p>
    <w:p>
      <w:pPr>
        <w:spacing w:before="156" w:beforeLines="50" w:after="156" w:afterLines="50" w:line="360" w:lineRule="auto"/>
        <w:outlineLvl w:val="1"/>
        <w:rPr>
          <w:rFonts w:hint="eastAsia" w:ascii="仿宋" w:hAnsi="仿宋" w:eastAsia="仿宋" w:cs="Times New Roman"/>
          <w:b/>
          <w:sz w:val="24"/>
          <w:szCs w:val="24"/>
        </w:rPr>
      </w:pPr>
      <w:r>
        <w:rPr>
          <w:rFonts w:hint="eastAsia" w:ascii="仿宋" w:hAnsi="仿宋" w:eastAsia="仿宋" w:cs="Times New Roman"/>
          <w:b/>
          <w:sz w:val="24"/>
          <w:szCs w:val="24"/>
        </w:rPr>
        <w:t>★三、技术、服务要求</w:t>
      </w:r>
    </w:p>
    <w:tbl>
      <w:tblPr>
        <w:tblStyle w:val="2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001"/>
        <w:gridCol w:w="426"/>
        <w:gridCol w:w="2736"/>
        <w:gridCol w:w="921"/>
        <w:gridCol w:w="908"/>
        <w:gridCol w:w="84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序号</w:t>
            </w:r>
          </w:p>
        </w:tc>
        <w:tc>
          <w:tcPr>
            <w:tcW w:w="200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产品名称</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单位</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参数</w:t>
            </w:r>
          </w:p>
        </w:tc>
        <w:tc>
          <w:tcPr>
            <w:tcW w:w="921"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采购数量</w:t>
            </w:r>
          </w:p>
        </w:tc>
        <w:tc>
          <w:tcPr>
            <w:tcW w:w="908"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最高单价限价</w:t>
            </w:r>
          </w:p>
          <w:p>
            <w:pPr>
              <w:spacing w:line="360" w:lineRule="auto"/>
              <w:jc w:val="center"/>
              <w:rPr>
                <w:rFonts w:ascii="仿宋" w:hAnsi="仿宋" w:eastAsia="仿宋" w:cs="Times New Roman"/>
                <w:szCs w:val="21"/>
              </w:rPr>
            </w:pPr>
            <w:r>
              <w:rPr>
                <w:rFonts w:hint="eastAsia" w:ascii="仿宋" w:hAnsi="仿宋" w:eastAsia="仿宋" w:cs="Times New Roman"/>
                <w:szCs w:val="21"/>
              </w:rPr>
              <w:t>（元）</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最高限价</w:t>
            </w:r>
          </w:p>
          <w:p>
            <w:pPr>
              <w:spacing w:line="360" w:lineRule="auto"/>
              <w:jc w:val="center"/>
              <w:rPr>
                <w:rFonts w:ascii="仿宋" w:hAnsi="仿宋" w:eastAsia="仿宋" w:cs="Times New Roman"/>
                <w:szCs w:val="21"/>
              </w:rPr>
            </w:pPr>
            <w:r>
              <w:rPr>
                <w:rFonts w:hint="eastAsia" w:ascii="仿宋" w:hAnsi="仿宋" w:eastAsia="仿宋" w:cs="Times New Roman"/>
                <w:szCs w:val="21"/>
              </w:rPr>
              <w:t>（元）</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是否属于进口产品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正畸托槽（直丝弓托槽）1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各牙位 10颗*1袋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正畸托槽（散托槽）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各牙位 10颗*1袋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正畸金属托槽</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用于正畸治疗中，承接并转移矫正弓丝的矫正力，在临床操作上，将正畸金属托槽固定在牙面上，为畸形牙齿的矫正提供支撑力，达到排齐牙齿的目的</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20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镍钛合金牙弓丝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镍钛圆丝弓</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444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光固化复合树脂（Z350纳米树脂）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用于前后牙的直接或间接的修复</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光固化复合树脂1</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支</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2.5g2#</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光固化复合树脂2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支</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2.5g3#</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金刚砂车针1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 5*1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520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4056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金刚砂车针2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板</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阻生车针</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牙锉（H锉）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牙锉（K锉）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21mm(3*1)25#红</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车针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高速车针各型号5颗*</w:t>
            </w:r>
            <w:r>
              <w:rPr>
                <w:rFonts w:ascii="仿宋" w:hAnsi="仿宋" w:eastAsia="仿宋" w:cs="Times New Roman"/>
                <w:szCs w:val="21"/>
              </w:rPr>
              <w:t>1</w:t>
            </w:r>
            <w:r>
              <w:rPr>
                <w:rFonts w:hint="eastAsia" w:ascii="仿宋" w:hAnsi="仿宋" w:eastAsia="仿宋" w:cs="Times New Roman"/>
                <w:szCs w:val="21"/>
              </w:rPr>
              <w:t>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牙釉质粘合树脂1</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光固化型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牙釉质粘合树脂2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非调拌型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非吸收性外科缝线（带线缝合针蚕丝线）</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3-0△1/27*17双针90cm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非吸收性外科缝线</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牙科 3-0 角 3/8 75cm*20mm 蓝色 10根/盒</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光固化垫底材料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由聚甲基丙烯酸，聚丙烯酸，玻璃离子填料组成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复合树脂桩核材料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为各种冠桩重建和桩冠充填设计的简易双固化冠核材料；能够光固化。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光固化复合树脂（波洛菲）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为光固化、X线阻射型复合充填树脂，成分为钡铝硅酸盐，二氧化硅，双酚A甲基丙烯酸缩水甘油酯（ Bis-GMA)，二甲基丙烯酸四乙二醇酯，聚氨酯甲基丙烯酸双酯，樟脑醌，二权丁基对甲基苯酚</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牙锉（WAVE ONE GOLD）</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21mm(6*1)绿、21mm(6*1)#红、21mm(6*1)#黄、21mm(4*1)混、21mm(6*1)#白、25mm(6*1)#白、25mm(6*1)绿、25mm(6*1)#红、25mm(6*1)#黄、25mm(4*1)混、31mm(6*1)#黄、31mm(6*1)25#红、31mm(4*1)混、31mm(6*1)21#白、31mm(6*1)绿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牙用锉(扩大针）/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H锉、K锉</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4131</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牙用锉1</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21mmX2（3颗*1板）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25mmX1-X3（3颗*1板）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21mmx2（6颗*1板)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21mmx1（6颗*1板）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牙用锉2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21mm-S1（紫色）、21mm-S2（白色）21mm-F1（黄色）、21mm-F2(红色)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牙用锉3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25mm-S1（紫色）、25mm-S2（白色）25mm-F1（黄色）、25mm-F2(红色)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镍钛合金牙弓丝1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镍钛合金牙弓丝2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摇椅圆丝</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6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镍钛合金牙弓丝3</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热激活方圆</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正畸托槽（直丝弓托槽）2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第一磨牙网底直丝弓散托槽 20颗*1袋、第二磨牙网底直丝弓散托槽 20颗*1袋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正畸弹簧1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分牙簧 /压轴簧/扭轴簧</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正畸弹簧2</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腭杆 标准正向（37#-55#）</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腭杆 加长正向（37#-55#）</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正畸弹簧3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拉簧CS-10 CS-12</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正畸弹簧4</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推簧OS-10 OS-12</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正畸颊面管</w:t>
            </w:r>
            <w:r>
              <w:rPr>
                <w:rFonts w:ascii="仿宋" w:hAnsi="仿宋" w:eastAsia="仿宋" w:cs="Times New Roman"/>
                <w:szCs w:val="21"/>
              </w:rPr>
              <w:t>1</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近中向弓丝入槽口设计；牵引钩末端光滑；网底凹形弧度设计（20颗*1袋）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36</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正畸颊面管2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近中向弓丝入槽口设计；牵引钩末端光滑；网底凹形弧度设计，（20颗*1袋）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圈</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0.3mm、0.35mm、0.4mm、0.45mm、0.5mm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不锈钢正畸丝1</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I型 方丝</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9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39</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不锈钢正畸丝2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I型 圆丝</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40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钨钢车针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长柄/各型(6颗*1盒)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41</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牙用锉protaperUniversal</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21mm（3颗*1板）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42</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25mm（3颗*1板）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齿科用根管充填材料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正畸托槽（自锁托槽）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带钩 带颊面管、丝</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F3机用镍钛根管锉-ON单支锉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21MM/25MM,3支装（混）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F3机用镍钛根管锉-PRO</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21MM/25MM,6支装（混）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47</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牙科机用根管锉</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板</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20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9180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非吸收性外科缝线</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牙科 3-0 角 3/8 75cm*20mm 蓝色 10根/盒</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49</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反角弯机头（根管预备机配件）</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把</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微型反角机头，电池充电时间5小时，使用时间2小时</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3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3800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11400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阻生车针（5支装）</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23mm，25mm，28mm，32mm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光固化复合树脂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8058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金属正畸网底托槽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结合80目网格粘结底板，与牙齿的弧度相匹配，粘结底板和接触面更大</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金属自锁托槽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托槽表面光滑、无瑕疵、无锋棱、无毛刺、无裂纹、无焊瘤；</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链状橡皮圈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用于口腔正畸治疗时使用，不含乳胶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牙科正畸橡皮圈</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套</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纤维桩钻头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有X线阻射性，半透明，玻璃纤维加强型的复合树脂根管桩</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纤维根管桩修复系统</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0号（10*1.1mm/支）白、56861 1号（10*1.3mm/支）黄、56862 2号（10*1.6mm/支）红、56863 3号（10*1.9mm/支）蓝</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protaper手用镍钛根扩锉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protaper机用镍钛根扩锉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protaper gold机用镍钛锉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61</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机用镍钛锉</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各型号</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牙胶尖压针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高速钨钢车针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自锁托槽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带钩</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牙科正畸弹性体附件（橡皮圈）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1/8,、3/16、1/4、5/16</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正畸丝（结扎丝）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圈</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0.2/0.25/0.30/0.35</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牙胶尖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15/20/25/30/35/40</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牙胶尖（大锥度牙胶尖）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04-15#、04-20#、04-25#、04-30#、04-35#、04-40#、04-混06-15#、06-20#、06-25#、06-30#、06-35#、06-40#、06-混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吸潮纸尖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15/20/25/30/35/40</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56</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吸潮纸尖（大锥度吸潮纸尖）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04-15#、04-20#、04-25#、04-30#、04-35#、04-40#、04-混06-15#、06-20#、06-25#、06-30#、06-35#、06-40#、06-混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生物复合碘抑菌液（碘甘油）</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生物复合碘抑菌液（碘酚）</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II型抑菌液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20ml煤酚（FC）</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I型抑菌液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20ml樟脑酚（CP）</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口腔抑菌软膏</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636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氢氧化钙糊剂1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双组份:(粉剂3g/瓶，液剂10ml/瓶)/盒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氢氧化钙糊剂2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2.5g</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6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295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1770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无砷失活剂（快失）</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无砷失活剂（慢失）</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碘仿</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新暂封补牙条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白色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81</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氢氧化钙根管消毒糊剂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注射型：2g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碘仿氢氧化钙口腔抑菌糊剂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氧化锌丁香酚水门汀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液20ml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丁香油水门汀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粉10g*液6ml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拔髓针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（12*1）0#、（12*1）00#、（12*1）000#</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纤维桩</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直棍桩10*1/1.2(10*1)/1.4(10*1)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手机清洗润滑油</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495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吸唾管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105根*1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医用X射线胶片</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3.0cm*4.0cm(100张/盒）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1275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X射线胶片显影定影二合一套液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一次性使用三用喷枪头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配合喷枪等使用，用于牙科治疗时清洁和吹干口腔及牙齿。聚氯乙烯（PVC）塑料外管和内芯组成。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94</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一次性使用口腔器械盒</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灭菌型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9400 </w:t>
            </w:r>
          </w:p>
        </w:tc>
        <w:tc>
          <w:tcPr>
            <w:tcW w:w="908" w:type="dxa"/>
            <w:noWrap/>
            <w:vAlign w:val="center"/>
          </w:tcPr>
          <w:p>
            <w:pPr>
              <w:spacing w:line="360" w:lineRule="auto"/>
              <w:jc w:val="right"/>
              <w:textAlignment w:val="center"/>
              <w:rPr>
                <w:rFonts w:ascii="仿宋" w:hAnsi="仿宋" w:eastAsia="仿宋" w:cs="Times New Roman"/>
                <w:szCs w:val="21"/>
              </w:rPr>
            </w:pPr>
            <w:r>
              <w:rPr>
                <w:rFonts w:hint="eastAsia" w:ascii="仿宋" w:hAnsi="仿宋" w:eastAsia="仿宋" w:cs="Times New Roman"/>
                <w:szCs w:val="21"/>
                <w:lang w:bidi="ar"/>
              </w:rPr>
              <w:t xml:space="preserve">2.3 </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21620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医用灭菌袋1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55mm*200m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96</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医用灭菌袋2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100mm*200m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97</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医用灭菌袋3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75mm*200m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平面卷袋</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55mm*200mm*1个</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99</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一次性使用口腔涂药棒</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中（黄色+蓝色）100*1</w:t>
            </w:r>
          </w:p>
        </w:tc>
        <w:tc>
          <w:tcPr>
            <w:tcW w:w="921"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w:t>
            </w:r>
          </w:p>
        </w:tc>
        <w:tc>
          <w:tcPr>
            <w:tcW w:w="846"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462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小（白色+紫色）100*1</w:t>
            </w:r>
          </w:p>
        </w:tc>
        <w:tc>
          <w:tcPr>
            <w:tcW w:w="921" w:type="dxa"/>
            <w:vMerge w:val="continue"/>
            <w:vAlign w:val="center"/>
          </w:tcPr>
          <w:p>
            <w:pPr>
              <w:spacing w:line="360" w:lineRule="auto"/>
              <w:jc w:val="center"/>
              <w:rPr>
                <w:rFonts w:ascii="仿宋" w:hAnsi="仿宋" w:eastAsia="仿宋" w:cs="Times New Roman"/>
                <w:szCs w:val="21"/>
              </w:rPr>
            </w:pPr>
          </w:p>
        </w:tc>
        <w:tc>
          <w:tcPr>
            <w:tcW w:w="908" w:type="dxa"/>
            <w:vMerge w:val="continue"/>
            <w:vAlign w:val="center"/>
          </w:tcPr>
          <w:p>
            <w:pPr>
              <w:spacing w:line="360" w:lineRule="auto"/>
              <w:jc w:val="center"/>
              <w:rPr>
                <w:rFonts w:ascii="仿宋" w:hAnsi="仿宋" w:eastAsia="仿宋" w:cs="Times New Roman"/>
                <w:szCs w:val="21"/>
              </w:rPr>
            </w:pPr>
          </w:p>
        </w:tc>
        <w:tc>
          <w:tcPr>
            <w:tcW w:w="846" w:type="dxa"/>
            <w:vMerge w:val="continue"/>
            <w:vAlign w:val="center"/>
          </w:tcPr>
          <w:p>
            <w:pPr>
              <w:spacing w:line="360" w:lineRule="auto"/>
              <w:jc w:val="center"/>
              <w:rPr>
                <w:rFonts w:ascii="仿宋" w:hAnsi="仿宋" w:eastAsia="仿宋" w:cs="Times New Roman"/>
                <w:szCs w:val="21"/>
              </w:rPr>
            </w:pP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101</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大（橙色+绿色）100*1</w:t>
            </w:r>
          </w:p>
        </w:tc>
        <w:tc>
          <w:tcPr>
            <w:tcW w:w="921" w:type="dxa"/>
            <w:vMerge w:val="continue"/>
            <w:vAlign w:val="center"/>
          </w:tcPr>
          <w:p>
            <w:pPr>
              <w:spacing w:line="360" w:lineRule="auto"/>
              <w:jc w:val="center"/>
              <w:rPr>
                <w:rFonts w:ascii="仿宋" w:hAnsi="仿宋" w:eastAsia="仿宋" w:cs="Times New Roman"/>
                <w:szCs w:val="21"/>
              </w:rPr>
            </w:pPr>
          </w:p>
        </w:tc>
        <w:tc>
          <w:tcPr>
            <w:tcW w:w="908" w:type="dxa"/>
            <w:vMerge w:val="continue"/>
            <w:vAlign w:val="center"/>
          </w:tcPr>
          <w:p>
            <w:pPr>
              <w:spacing w:line="360" w:lineRule="auto"/>
              <w:jc w:val="center"/>
              <w:rPr>
                <w:rFonts w:ascii="仿宋" w:hAnsi="仿宋" w:eastAsia="仿宋" w:cs="Times New Roman"/>
                <w:szCs w:val="21"/>
              </w:rPr>
            </w:pPr>
          </w:p>
        </w:tc>
        <w:tc>
          <w:tcPr>
            <w:tcW w:w="846" w:type="dxa"/>
            <w:vMerge w:val="continue"/>
            <w:vAlign w:val="center"/>
          </w:tcPr>
          <w:p>
            <w:pPr>
              <w:spacing w:line="360" w:lineRule="auto"/>
              <w:jc w:val="center"/>
              <w:rPr>
                <w:rFonts w:ascii="仿宋" w:hAnsi="仿宋" w:eastAsia="仿宋" w:cs="Times New Roman"/>
                <w:szCs w:val="21"/>
              </w:rPr>
            </w:pP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102</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细长（黑色）100*1</w:t>
            </w:r>
          </w:p>
        </w:tc>
        <w:tc>
          <w:tcPr>
            <w:tcW w:w="921" w:type="dxa"/>
            <w:vMerge w:val="continue"/>
            <w:vAlign w:val="center"/>
          </w:tcPr>
          <w:p>
            <w:pPr>
              <w:spacing w:line="360" w:lineRule="auto"/>
              <w:jc w:val="center"/>
              <w:rPr>
                <w:rFonts w:ascii="仿宋" w:hAnsi="仿宋" w:eastAsia="仿宋" w:cs="Times New Roman"/>
                <w:szCs w:val="21"/>
              </w:rPr>
            </w:pPr>
          </w:p>
        </w:tc>
        <w:tc>
          <w:tcPr>
            <w:tcW w:w="908" w:type="dxa"/>
            <w:vMerge w:val="continue"/>
            <w:vAlign w:val="center"/>
          </w:tcPr>
          <w:p>
            <w:pPr>
              <w:spacing w:line="360" w:lineRule="auto"/>
              <w:jc w:val="center"/>
              <w:rPr>
                <w:rFonts w:ascii="仿宋" w:hAnsi="仿宋" w:eastAsia="仿宋" w:cs="Times New Roman"/>
                <w:szCs w:val="21"/>
              </w:rPr>
            </w:pPr>
          </w:p>
        </w:tc>
        <w:tc>
          <w:tcPr>
            <w:tcW w:w="846" w:type="dxa"/>
            <w:vMerge w:val="continue"/>
            <w:vAlign w:val="center"/>
          </w:tcPr>
          <w:p>
            <w:pPr>
              <w:spacing w:line="360" w:lineRule="auto"/>
              <w:jc w:val="center"/>
              <w:rPr>
                <w:rFonts w:ascii="仿宋" w:hAnsi="仿宋" w:eastAsia="仿宋" w:cs="Times New Roman"/>
                <w:szCs w:val="21"/>
              </w:rPr>
            </w:pP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防护面罩</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1架*10片</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齿科酸蚀剂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2*2.5ml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牙科用磷酸酸蚀剂1</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2.5ml(37%)</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106</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牙科用磷酸酸蚀剂2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36%磷酸 5.0ml/支</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康齿宁含漱液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165ml 80*1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超硬石膏</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1.5KG</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109</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基托蜡</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夏用/常用</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11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通用树脂（Z250XT）</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1470（A2）、1470（A3）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朗力生物（R）3%次氯酸钠消毒液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 250ml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舌侧扣</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纽扣超薄粘接</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后牙充填玻璃离子（粉）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粉质/适用于乳牙修复（尤其适用于I类窝洞），II类窝沟（非咬合面）的修补填充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后牙充填玻璃离子（液）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液质/适用于乳牙修复（尤其适用于I类窝洞），II类窝沟（非咬合面）的修补填充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硅橡胶印模材料（塞拉格）</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硅橡胶印模材料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手调型软质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加聚硅橡胶印模材料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供口腔科牙齿修复时取模用，由乙烯基聚硅氧烷、氢聚硅氧烷、填充物、色素、添加剂、铂催化剂组成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21mm-25、21mm-30、25mm-30</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氢氧化钙根管消毒材料（含碘仿）</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窝沟封闭剂（含氟）</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2g/支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光固化氢氧化钙间接盖髓剂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1307（2.5g） 2*1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玻璃离子体冠桥粘固剂（美龙玻璃离子）</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1086（35g粉+15ml液）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777</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锥形玻璃纤维复合树脂桩（玻璃纤维桩10*1）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1.25#/10*1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洁牙机刀头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5个*1板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EDTA根管润滑凝胶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正畸支抗1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10mm(601-0022)蓝色8mm(601-2221)橙色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正畸支抗2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颗</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8mm(601-0021)橙色</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3360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一次性使用医用橡胶检查手套1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50双</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一次性使用医用橡胶检查手套2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50双</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通用粘接系统</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牙根管塞尖（大锥度牙胶尖）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04(20#、25#、30#、35#、40#、混)06(15#、20#、25#、30#、35#、混)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暂时充填材料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15g（红色）、15g（白色）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藻酸盐印模粉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1200g变色型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藻酸盐印模粉（变色型）</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罐</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908g 翡翠</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口洁宝抑菌含漱液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流体树脂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A2、A3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牙科根管治疗器械（手用）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21-2#、21-3#、21-4#、21混1-4、25-1#、25-2#、25-3#、25-4#、25混1-4、17混1-4、17/21混#2/3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139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磷酸锌1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粉/30g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磷酸锌2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液/15ml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正畸弹簧5</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正（扭）轴簧</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双组份:粉剂10g/瓶,液10ml/瓶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朗宁抑菌剂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溶液剂及粉剂</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氟保护剂1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0.4ML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氟保护剂2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0.5ml*50袋/盒</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3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氧化锌丁香酚水门汀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粉10g*液6ml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正畸丝（澳丝）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直径0.16mm/ 0.14mm /0.18mm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正畸带环</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直丝弓带环4*1（15号-32号）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149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增强型玻璃离子水门汀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粉剂由氟硅磷酸盐组成，液剂由丙烯酸，马来酸等共聚物组成，用于儿童龋齿及III、V类洞的充填和修复。</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聚羧酸锌水门汀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粉液对装，单粉包装，单液包装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灭菌袋</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100mm*200m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玻璃离子水门汀1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A3(粉15g+液8g)、22#(粉15g+液10g)、23#(粉15g+液10g)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玻璃离子水门汀2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A2、A3、A3.5、粉液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154</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玻璃离子体水门汀</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套</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A2(粉15g+液8g）</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292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合成树脂贴面</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4*1(A2-21.22.23.24、A3-21.22.23.24)  6*1(A2-21.22.23.24、A3-21.22.23.24)</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牙用丝（牙用钢丝）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50g 圆丝Φ0.6,0.7,0.8,0.9,1.0</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齿科藻酸盐印模材料1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罐</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908g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齿科藻酸盐印模材料2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桶</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1000g 12*1高精密型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低速金刚砂磨头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张</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拔髓针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10*1（30#）黄色、10*1（35#）红色、10*1（40#）蓝色、10*1（混）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抑菌剂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10ml：15g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钢质机用根管器械（机用扩孔钻）</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G28mm-5、G32mm-4、G32mm-5、P28mm-3、P28mm-4、P32mm-3、P32mm-4</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双固化树脂粘接材料（套装）</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用于各类龋洞的充填和牙体缺损的修补，桩核制作，变色牙贴面及复合树脂嵌体</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1899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1899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牙线</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牙齿美白胶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PF40% 2*1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锥形玻璃纤维复合树脂桩（玻璃纤维桩10*2）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110944(1.375#)</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锥形玻璃纤维复合树脂桩（玻璃纤维桩10*3）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110945(1.5#)</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纤维桩修复系统（套装）</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套</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15支状+4支钻56860</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3180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光固化正畸粘接用水门汀（粉）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粉15g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光固化正畸粘接用水门汀（液）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液8ml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研光器（树脂修正）</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八角柄</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氟化泡沫</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570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一次性氟化泡沫牙托</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大号（兰）、中号（黄）、小号（绿）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双固化型冠桥永久粘接剂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110524（52g+35个枪混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光固化充填树脂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1864(A2、A3)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349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聚羧酸水门汀PolyF</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氢氧化钙（自凝）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氢氧化钙、碘仿、甘油组成(13g基质+11g催化剂)</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牙科粘合剂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179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牙科根管治疗器械（机用）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21mm#003、25mm#002、25mm#003、25mm#001-004、21mm#ASS、21mm#ASS、21mm#ASS、21mm#ASS、21mm#ASS、21mm#ASS、21mm#ASS、21mm#ASS</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牙科根管治疗器械</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21mm-A.20#、21mm-B.25#、21mm-C.30#、21mm-D.35#、21mm混、25mm-C.30#、25mm-A.20#、25mm-B.25#、25mm-D.35#2、5mm混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牙根管塞尖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120*1(20#、25#、30#、35#、40#）120*1(混)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大椎度吸潮纸尖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120*1(20#、25#、30#、35#、40#）120*1(混)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后牙流动树脂（SDR）</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15个子弹装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阻生球钻（5支装）</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23mm，25mm，28mm，32mm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正畸保护蜡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卡装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牙线棒</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50支/盒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氯已定含漱液0.03%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200ml/盒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609</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4872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抛光组件（条）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75条/盒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抛光组件（片）</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40片/盒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龋齿指示剂1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5ml/支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龋齿指示剂2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15ml/支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临时充填材料（暂封膏）</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15g/支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CP抑菌液（樟脑酚）</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碘酚抑菌液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复合碘抑菌液（碘甘油）</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无砷失活剂（慢失）</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1g/支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199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无砷失活剂（快失）</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1g/支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EDTA根管润滑凝胶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脱敏剂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红蜡片（常用）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常用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红蜡片（夏用）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夏用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咬合纸红色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55mm*18mm，300张/盒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咬合纸蓝色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55mm*18mm，300张/盒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可塑性托盘</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上下颌一套</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玻璃离子粘固剂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（20g粉+16ml液）*3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聚羧酸锌水门汀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30g粉+15ml液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209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石膏溶解液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1kg/把</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石膏调刀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1把</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牙科分离剂1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212</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牙科分离剂2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瓶</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250ml</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3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1027"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牙科分离剂3</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500ml</w:t>
            </w:r>
          </w:p>
        </w:tc>
        <w:tc>
          <w:tcPr>
            <w:tcW w:w="921" w:type="dxa"/>
            <w:noWrap/>
            <w:vAlign w:val="center"/>
          </w:tcPr>
          <w:p>
            <w:pPr>
              <w:spacing w:line="360" w:lineRule="auto"/>
              <w:jc w:val="center"/>
              <w:textAlignment w:val="center"/>
              <w:rPr>
                <w:rFonts w:ascii="仿宋" w:hAnsi="仿宋" w:eastAsia="仿宋" w:cs="Times New Roman"/>
                <w:szCs w:val="21"/>
                <w:lang w:bidi="ar"/>
              </w:rPr>
            </w:pPr>
            <w:r>
              <w:rPr>
                <w:rFonts w:hint="eastAsia" w:ascii="仿宋" w:hAnsi="仿宋" w:eastAsia="仿宋" w:cs="Times New Roman"/>
                <w:szCs w:val="21"/>
                <w:lang w:bidi="ar"/>
              </w:rPr>
              <w:t>0</w:t>
            </w:r>
          </w:p>
        </w:tc>
        <w:tc>
          <w:tcPr>
            <w:tcW w:w="908" w:type="dxa"/>
            <w:noWrap/>
            <w:vAlign w:val="center"/>
          </w:tcPr>
          <w:p>
            <w:pPr>
              <w:spacing w:line="360" w:lineRule="auto"/>
              <w:jc w:val="center"/>
              <w:textAlignment w:val="center"/>
              <w:rPr>
                <w:rFonts w:ascii="仿宋" w:hAnsi="仿宋" w:eastAsia="仿宋" w:cs="Times New Roman"/>
                <w:szCs w:val="21"/>
                <w:lang w:bidi="ar"/>
              </w:rPr>
            </w:pPr>
            <w:r>
              <w:rPr>
                <w:rFonts w:hint="eastAsia" w:ascii="仿宋" w:hAnsi="仿宋" w:eastAsia="仿宋" w:cs="Times New Roman"/>
                <w:szCs w:val="21"/>
                <w:lang w:bidi="ar"/>
              </w:rPr>
              <w:t>11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多酶清洗剂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1000ml/瓶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窝沟封闭剂1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适度的流动性，具备边缘封闭性，结合紧密，不易脱落，1.25g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窝沟封闭剂2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适度的流动性，具备边缘封闭性，结合紧密，不易脱落，5*1.25g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抛光膏</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219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橡皮障</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标准号、小号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全酸蚀树脂粘接系统</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由聚乙二醇二甲基丙烯酸酯、马来酸和丙酮的水溶液组成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全酸蚀树脂粘接剂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极高的渗透性，只需涂布一层即可形成混合层；高粘接强度</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阻氧剂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具有不透氧性，可作为树脂和陶瓷修复体的试戴和树脂的处理助剂</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全能处理剂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由硅烷甲基丙烯酸甲酯、磷酸甲基丙烯酸甲酯、硫化甲基丙烯酸甲酯和乙醇组成，用于所有间接修复材料的通用型，单组份处理剂，可提高修复体和水门汀指尖的粘接强度</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570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贴面粘接剂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642981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催化剂补充装</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自粘接树脂水门汀系统</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MDP单体，支持化学粘接；一步式自酸蚀树脂水门汀，无需修复体酸蚀剂；</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氢氧化钙消毒糊剂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直接输入根管；去除糊剂，完全水溶性，不附着根管壁。</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P60后牙专用光固化复合树脂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由硅烷化的氧化锆，二氧化硅等组成；后牙专用复合树脂，具有可填压手感，具有聚合收缩，具有耐磨性</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215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流体树脂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A2(2*1)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230</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光固化流体树脂</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支</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8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864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通用纳米树脂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适用于前后牙的直接或间接的修复</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通用万能粘接剂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适用于各种粘接技术：全酸蚀、自酸蚀和选择性酸蚀；湿润或千燥的牙本质，都保证持久的粘接强度；与所有界面形成粘接，无需额外处理剂；</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233</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自粘接树脂水门汀</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透明色11g</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2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1518</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自酸蚀粘接剂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各类树脂的粘接</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235</w:t>
            </w:r>
          </w:p>
        </w:tc>
        <w:tc>
          <w:tcPr>
            <w:tcW w:w="2001" w:type="dxa"/>
            <w:vAlign w:val="center"/>
          </w:tcPr>
          <w:p>
            <w:pPr>
              <w:spacing w:line="360" w:lineRule="auto"/>
              <w:rPr>
                <w:rFonts w:ascii="仿宋" w:hAnsi="仿宋" w:eastAsia="仿宋" w:cs="Times New Roman"/>
                <w:szCs w:val="21"/>
              </w:rPr>
            </w:pPr>
            <w:r>
              <w:rPr>
                <w:rFonts w:ascii="仿宋" w:hAnsi="仿宋" w:eastAsia="仿宋" w:cs="Times New Roman"/>
                <w:szCs w:val="21"/>
              </w:rPr>
              <w:t>自粘接树脂水门汀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自粘接树脂水门汀:本产品由本剂和催化剂组成。挠曲强度不小于50MPa，固化时间不大于10分钟。</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化学固化正畸托槽粘接剂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用于正畸治疗中，陶瓷托槽，金属托槽与牙釉质的粘接。</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光固化正畸粘接剂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用于正畸治疗中，陶瓷托槽，金属托槽与牙釉质的粘接。</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470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屏障树脂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用不透水的封闭剂保护软组织，容易去除，直接应用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239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镊子筒</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大号、中号、小号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启闭式消毒盒</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大号、小号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油膏缸</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8cm、9cm、10cm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表面消毒剂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709ml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物体表面消毒湿巾</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160抽、220抽</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190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缝合线</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缝合针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带线缝合针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手术刀片</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各型（10*1）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一次性无菌手术刀片</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张</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一次性三用枪头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100个*1盒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藻酸盐印模材</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1000g/袋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蜡型雕刻刀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牙挺1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六角柄/各型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254</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牙挺2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把</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八角柄 各型</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9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牙挺3</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把</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微创牙挺</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3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拔牙钳</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3600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镍钛圆丝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洁牙机工作尖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板</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硅橡胶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250ml*2+3型50ml*1/适用于冠、桥嵌体、高嵌体、套铜冠、附着体等精密修复体的印模制取。B型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硅橡胶轻体</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3型（轻体 二次印模）50ml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托盘粘接剂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由硅树脂，溶剂(挥发蜡）组成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桩核材料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专为各种冠桩重建和桩冠充填设计的简易双固化冠核材料</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279</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光固化垫底材料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0.03g/支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水基质氢氧化钙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双氟12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4g粉+10ml液</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玻璃离子（水调型）</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聚羧酸锌水门汀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70g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175</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牙胶尖</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269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大锥度牙胶尖1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大锥度牙胶尖2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手用药物输送针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机用药物输送针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根管充填剂AHPlus</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双组份</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毛刷连棒</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100支*1盒</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扩大针测量台</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A0327</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牙胶尖修整器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游离牵引钩1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10个*1袋/通用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278</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游离牵引钩2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10个*1袋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279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舌侧扣</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10个*1袋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280</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高位头帽</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9000-301（大）</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281</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9000-201（中）</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282</w:t>
            </w: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9000-101（小）</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下颌牵引头帽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口外正畸牵引装置</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口腔正畸医师在对人体牙列矫正时作为辅助装置用(可调）</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1260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分牙簧</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口外弓</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额兜</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9041-001</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腭管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289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正畸钳</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360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技工钳</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结扎圈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根</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(S型透明结扎圈)单根</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开口器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成人、儿童</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293</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眼用手术剪</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12.5cm直尖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12.5cm弯尖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14cm弯尖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14CM直尖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16cm直尖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16cm弯尖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18cm弯圆</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18cm直尖</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持针钳</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剔挖器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六角柄根尖挺</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S型分牙圈</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S型(15根/袋)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摇椅方丝弓</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299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摇椅圆丝弓</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拉簧</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推簧</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正畸丝（澳丝）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正畸丝（澳丝）</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筒装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非调合粘接剂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绿胶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蓝胶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蓝胶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绿胶</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在环境光线下，绿胶的操作时间比普通光固化粘结剂长185%，保证足够的时间进行托槽的定位与调整</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780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明胶海绵</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2片*10包 60mm*20mm</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除丁克</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309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夕离子</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子弹状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齿科根管充填材料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311</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根管充填材料</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盒</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2.2g*1支</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3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根管充填剂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10ml：15g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粘固粉充填器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粘固粉调刀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1#（双头）、 2#（双头）、 3#</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拔髓针有柄</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麻醉针头针头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0.3*21mm30GS</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金属注射器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由独立的注射器和注射头组成,非无菌提供,可重复使用</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压模片1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319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压模片2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包</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各型(20片*1包)</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自凝牙托水</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500ml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义齿基托树脂（自凝牙托粉）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自凝100g1#、自凝100g2#、自凝100g3#、自凝100g4#</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99</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造牙树脂（自凝造牙粉）</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100g0#、100g1#、100g2#、100g3#、100g4#</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104</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网状托盘</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大、中、小、前口、边口</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324</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有孔托盘</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1#上有孔、1#下有孔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2#上有孔、2#下有孔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3#上有孔、3#下有孔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4#上有孔、4#下有孔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325</w:t>
            </w:r>
          </w:p>
        </w:tc>
        <w:tc>
          <w:tcPr>
            <w:tcW w:w="2001" w:type="dxa"/>
            <w:vMerge w:val="restart"/>
            <w:vAlign w:val="center"/>
          </w:tcPr>
          <w:p>
            <w:pPr>
              <w:spacing w:line="360" w:lineRule="auto"/>
              <w:rPr>
                <w:rFonts w:ascii="仿宋" w:hAnsi="仿宋" w:eastAsia="仿宋" w:cs="Times New Roman"/>
                <w:szCs w:val="21"/>
              </w:rPr>
            </w:pPr>
            <w:r>
              <w:rPr>
                <w:rFonts w:hint="eastAsia" w:ascii="仿宋" w:hAnsi="仿宋" w:eastAsia="仿宋" w:cs="Times New Roman"/>
                <w:szCs w:val="21"/>
              </w:rPr>
              <w:t>无孔托盘</w:t>
            </w:r>
          </w:p>
        </w:tc>
        <w:tc>
          <w:tcPr>
            <w:tcW w:w="0" w:type="auto"/>
            <w:vMerge w:val="restart"/>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1#上无孔、1#下无孔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restart"/>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2#上无孔、2#下无孔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Merge w:val="continue"/>
            <w:vAlign w:val="center"/>
          </w:tcPr>
          <w:p>
            <w:pPr>
              <w:spacing w:line="360" w:lineRule="auto"/>
              <w:rPr>
                <w:rFonts w:ascii="仿宋" w:hAnsi="仿宋" w:eastAsia="仿宋" w:cs="Times New Roman"/>
                <w:szCs w:val="21"/>
              </w:rPr>
            </w:pPr>
          </w:p>
        </w:tc>
        <w:tc>
          <w:tcPr>
            <w:tcW w:w="2001" w:type="dxa"/>
            <w:vMerge w:val="continue"/>
            <w:vAlign w:val="center"/>
          </w:tcPr>
          <w:p>
            <w:pPr>
              <w:spacing w:line="360" w:lineRule="auto"/>
              <w:rPr>
                <w:rFonts w:ascii="仿宋" w:hAnsi="仿宋" w:eastAsia="仿宋" w:cs="Times New Roman"/>
                <w:szCs w:val="21"/>
              </w:rPr>
            </w:pPr>
          </w:p>
        </w:tc>
        <w:tc>
          <w:tcPr>
            <w:tcW w:w="0" w:type="auto"/>
            <w:vMerge w:val="continue"/>
            <w:vAlign w:val="center"/>
          </w:tcPr>
          <w:p>
            <w:pPr>
              <w:spacing w:line="360" w:lineRule="auto"/>
              <w:rPr>
                <w:rFonts w:ascii="仿宋" w:hAnsi="仿宋" w:eastAsia="仿宋" w:cs="Times New Roman"/>
                <w:szCs w:val="21"/>
              </w:rPr>
            </w:pP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3#上无孔、3#下无孔</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Merge w:val="continue"/>
            <w:vAlign w:val="center"/>
          </w:tcPr>
          <w:p>
            <w:pPr>
              <w:spacing w:line="360" w:lineRule="auto"/>
              <w:jc w:val="center"/>
              <w:rPr>
                <w:rFonts w:ascii="仿宋" w:hAnsi="仿宋" w:eastAsia="仿宋" w:cs="Times New Roman"/>
                <w:szCs w:val="21"/>
              </w:rPr>
            </w:pP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舌侧扣</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10颗*1袋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下颌牵引头帽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329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前方牵引装置</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自锁托槽</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付</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高转矩3带钩、高转矩3不带钩、低转矩3带钩、低转矩3不带钩</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研磨材料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前牙、后牙</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115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超硬石膏</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1kg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396</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牙科石膏1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袋</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4型1kg（15g/袋）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牙科石膏2</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1.5kg/袋（10袋/箱）</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15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630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335</w:t>
            </w:r>
          </w:p>
        </w:tc>
        <w:tc>
          <w:tcPr>
            <w:tcW w:w="2001" w:type="dxa"/>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牙科模型石膏</w:t>
            </w:r>
          </w:p>
        </w:tc>
        <w:tc>
          <w:tcPr>
            <w:tcW w:w="0" w:type="auto"/>
            <w:noWrap/>
            <w:vAlign w:val="center"/>
          </w:tcPr>
          <w:p>
            <w:pPr>
              <w:spacing w:line="360" w:lineRule="auto"/>
              <w:rPr>
                <w:rFonts w:ascii="仿宋" w:hAnsi="仿宋" w:eastAsia="仿宋" w:cs="Times New Roman"/>
                <w:szCs w:val="21"/>
              </w:rPr>
            </w:pPr>
            <w:r>
              <w:rPr>
                <w:rFonts w:hint="eastAsia" w:ascii="仿宋" w:hAnsi="仿宋" w:eastAsia="仿宋" w:cs="Times New Roman"/>
                <w:szCs w:val="21"/>
              </w:rPr>
              <w:t>袋</w:t>
            </w:r>
          </w:p>
        </w:tc>
        <w:tc>
          <w:tcPr>
            <w:tcW w:w="2736"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5Kg (齿科石膏粉）</w:t>
            </w:r>
          </w:p>
        </w:tc>
        <w:tc>
          <w:tcPr>
            <w:tcW w:w="921"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 xml:space="preserve">11 </w:t>
            </w:r>
          </w:p>
        </w:tc>
        <w:tc>
          <w:tcPr>
            <w:tcW w:w="908" w:type="dxa"/>
            <w:noWrap/>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308</w:t>
            </w:r>
          </w:p>
        </w:tc>
        <w:tc>
          <w:tcPr>
            <w:tcW w:w="1027" w:type="dxa"/>
            <w:noWrap/>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变色龙印模材</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45</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脱敏糊剂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120g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医用保护膜1</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100*150mm8卷/件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339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医用保护膜2</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卷</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10*15mm蓝色(8卷*1件)</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手工刮治器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金冠剪</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牙刮匙</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343</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树脂修整器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牙龈剪</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46</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346</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马尼G钻</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62</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62</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义齿基托聚合物</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1000g1型1类</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440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440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正畸纱条</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108</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349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干髓抑制糊剂</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10ml，10g</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35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高速气涡轮手机</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由高速气涡轮手机和软管连接件组成</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1250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27500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口腔正畸用反光镜</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各型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牙椅套</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套</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深蓝色、苹果绿</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354</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除丁克溶液</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瓶</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10ml</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90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355</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橡皮障</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成人</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2380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357</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调拌刀</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把</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木柄</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358</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调拌碗</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大号、中号、小号</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359</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正畸保持器清洁片</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盒</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24片</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23</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360</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去冠器</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支</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直/弯</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25</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50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361</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根管测量台</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小-蓝台型</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10</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362</w:t>
            </w:r>
          </w:p>
        </w:tc>
        <w:tc>
          <w:tcPr>
            <w:tcW w:w="2001" w:type="dxa"/>
            <w:vAlign w:val="center"/>
          </w:tcPr>
          <w:p>
            <w:pPr>
              <w:spacing w:line="360" w:lineRule="auto"/>
              <w:rPr>
                <w:rFonts w:ascii="仿宋" w:hAnsi="仿宋" w:eastAsia="仿宋" w:cs="Times New Roman"/>
                <w:szCs w:val="21"/>
              </w:rPr>
            </w:pPr>
            <w:r>
              <w:rPr>
                <w:rFonts w:hint="eastAsia" w:ascii="仿宋" w:hAnsi="仿宋" w:eastAsia="仿宋" w:cs="Times New Roman"/>
                <w:szCs w:val="21"/>
              </w:rPr>
              <w:t>调拌纸</w:t>
            </w:r>
          </w:p>
        </w:tc>
        <w:tc>
          <w:tcPr>
            <w:tcW w:w="0" w:type="auto"/>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个</w:t>
            </w:r>
          </w:p>
        </w:tc>
        <w:tc>
          <w:tcPr>
            <w:tcW w:w="2736"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100张*1个</w:t>
            </w:r>
          </w:p>
        </w:tc>
        <w:tc>
          <w:tcPr>
            <w:tcW w:w="921"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908"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7</w:t>
            </w:r>
          </w:p>
        </w:tc>
        <w:tc>
          <w:tcPr>
            <w:tcW w:w="846" w:type="dxa"/>
            <w:vAlign w:val="center"/>
          </w:tcPr>
          <w:p>
            <w:pPr>
              <w:spacing w:line="360" w:lineRule="auto"/>
              <w:jc w:val="center"/>
              <w:textAlignment w:val="center"/>
              <w:rPr>
                <w:rFonts w:ascii="仿宋" w:hAnsi="仿宋" w:eastAsia="仿宋" w:cs="Times New Roman"/>
                <w:szCs w:val="21"/>
              </w:rPr>
            </w:pPr>
            <w:r>
              <w:rPr>
                <w:rFonts w:hint="eastAsia" w:ascii="仿宋" w:hAnsi="仿宋" w:eastAsia="仿宋" w:cs="Times New Roman"/>
                <w:szCs w:val="21"/>
                <w:lang w:bidi="ar"/>
              </w:rPr>
              <w:t>0</w:t>
            </w:r>
          </w:p>
        </w:tc>
        <w:tc>
          <w:tcPr>
            <w:tcW w:w="1027" w:type="dxa"/>
            <w:vAlign w:val="center"/>
          </w:tcPr>
          <w:p>
            <w:pPr>
              <w:spacing w:line="360" w:lineRule="auto"/>
              <w:jc w:val="center"/>
              <w:rPr>
                <w:rFonts w:ascii="仿宋" w:hAnsi="仿宋" w:eastAsia="仿宋" w:cs="Times New Roman"/>
                <w:szCs w:val="21"/>
              </w:rPr>
            </w:pPr>
            <w:r>
              <w:rPr>
                <w:rFonts w:hint="eastAsia" w:ascii="仿宋" w:hAnsi="仿宋" w:eastAsia="仿宋" w:cs="Times New Roman"/>
                <w:szCs w:val="21"/>
              </w:rPr>
              <w:t>否</w:t>
            </w:r>
          </w:p>
        </w:tc>
      </w:tr>
    </w:tbl>
    <w:p>
      <w:pPr>
        <w:spacing w:before="156" w:beforeLines="50" w:after="156" w:afterLines="50" w:line="360" w:lineRule="auto"/>
        <w:rPr>
          <w:rFonts w:hint="eastAsia" w:ascii="仿宋" w:hAnsi="仿宋" w:eastAsia="仿宋"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2F"/>
    <w:rsid w:val="00673C09"/>
    <w:rsid w:val="00916FF5"/>
    <w:rsid w:val="009B082F"/>
    <w:rsid w:val="1EEC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Normal Indent"/>
    <w:basedOn w:val="1"/>
    <w:link w:val="36"/>
    <w:qFormat/>
    <w:uiPriority w:val="0"/>
    <w:pPr>
      <w:ind w:firstLine="420" w:firstLineChars="200"/>
    </w:pPr>
    <w:rPr>
      <w:rFonts w:ascii="Times New Roman" w:hAnsi="Times New Roman" w:eastAsia="宋体" w:cs="Times New Roman"/>
      <w:szCs w:val="24"/>
    </w:rPr>
  </w:style>
  <w:style w:type="paragraph" w:styleId="7">
    <w:name w:val="Document Map"/>
    <w:basedOn w:val="1"/>
    <w:link w:val="38"/>
    <w:semiHidden/>
    <w:qFormat/>
    <w:uiPriority w:val="0"/>
    <w:pPr>
      <w:shd w:val="clear" w:color="auto" w:fill="000080"/>
    </w:pPr>
    <w:rPr>
      <w:rFonts w:ascii="Times New Roman" w:hAnsi="Times New Roman" w:eastAsia="宋体" w:cs="Times New Roman"/>
      <w:szCs w:val="24"/>
    </w:rPr>
  </w:style>
  <w:style w:type="paragraph" w:styleId="8">
    <w:name w:val="annotation text"/>
    <w:basedOn w:val="1"/>
    <w:link w:val="40"/>
    <w:qFormat/>
    <w:uiPriority w:val="99"/>
    <w:pPr>
      <w:jc w:val="left"/>
    </w:pPr>
    <w:rPr>
      <w:rFonts w:ascii="Calibri" w:hAnsi="Calibri" w:eastAsia="宋体" w:cs="Times New Roman"/>
      <w:sz w:val="18"/>
    </w:rPr>
  </w:style>
  <w:style w:type="paragraph" w:styleId="9">
    <w:name w:val="Body Text"/>
    <w:basedOn w:val="1"/>
    <w:link w:val="42"/>
    <w:uiPriority w:val="0"/>
    <w:pPr>
      <w:spacing w:after="120"/>
    </w:pPr>
    <w:rPr>
      <w:rFonts w:ascii="Times New Roman" w:hAnsi="Times New Roman" w:eastAsia="宋体" w:cs="Times New Roman"/>
      <w:szCs w:val="24"/>
    </w:rPr>
  </w:style>
  <w:style w:type="paragraph" w:styleId="10">
    <w:name w:val="Body Text Indent"/>
    <w:basedOn w:val="1"/>
    <w:qFormat/>
    <w:uiPriority w:val="0"/>
    <w:pPr>
      <w:ind w:firstLine="630"/>
    </w:pPr>
    <w:rPr>
      <w:rFonts w:ascii="Times New Roman" w:hAnsi="Times New Roman" w:eastAsia="宋体" w:cs="Times New Roman"/>
      <w:sz w:val="32"/>
      <w:szCs w:val="20"/>
    </w:rPr>
  </w:style>
  <w:style w:type="paragraph" w:styleId="11">
    <w:name w:val="Plain Text"/>
    <w:basedOn w:val="1"/>
    <w:link w:val="48"/>
    <w:qFormat/>
    <w:uiPriority w:val="0"/>
    <w:pPr>
      <w:autoSpaceDE w:val="0"/>
      <w:autoSpaceDN w:val="0"/>
      <w:adjustRightInd w:val="0"/>
    </w:pPr>
    <w:rPr>
      <w:rFonts w:ascii="宋体" w:hAnsi="Tms Rmn" w:eastAsia="宋体" w:cs="Times New Roman"/>
    </w:rPr>
  </w:style>
  <w:style w:type="paragraph" w:styleId="12">
    <w:name w:val="Body Text Indent 2"/>
    <w:basedOn w:val="1"/>
    <w:link w:val="50"/>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52"/>
    <w:qFormat/>
    <w:uiPriority w:val="0"/>
    <w:rPr>
      <w:rFonts w:ascii="Times New Roman" w:hAnsi="Times New Roman" w:eastAsia="宋体" w:cs="Times New Roman"/>
      <w:sz w:val="18"/>
      <w:szCs w:val="18"/>
    </w:rPr>
  </w:style>
  <w:style w:type="paragraph" w:styleId="14">
    <w:name w:val="footer"/>
    <w:basedOn w:val="1"/>
    <w:link w:val="5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56"/>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Subtitle"/>
    <w:basedOn w:val="1"/>
    <w:next w:val="1"/>
    <w:link w:val="58"/>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7">
    <w:name w:val="Body Text Indent 3"/>
    <w:basedOn w:val="1"/>
    <w:link w:val="60"/>
    <w:qFormat/>
    <w:uiPriority w:val="0"/>
    <w:pPr>
      <w:spacing w:after="120"/>
      <w:ind w:left="420" w:leftChars="200"/>
    </w:pPr>
    <w:rPr>
      <w:rFonts w:ascii="Times New Roman" w:hAnsi="Times New Roman" w:eastAsia="宋体" w:cs="Times New Roman"/>
      <w:sz w:val="16"/>
      <w:szCs w:val="16"/>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9">
    <w:name w:val="Title"/>
    <w:basedOn w:val="1"/>
    <w:next w:val="1"/>
    <w:link w:val="62"/>
    <w:qFormat/>
    <w:uiPriority w:val="10"/>
    <w:pPr>
      <w:spacing w:before="240" w:after="60"/>
      <w:jc w:val="center"/>
      <w:outlineLvl w:val="0"/>
    </w:pPr>
    <w:rPr>
      <w:rFonts w:ascii="Cambria" w:hAnsi="Cambria" w:eastAsia="宋体" w:cs="Times New Roman"/>
      <w:b/>
      <w:bCs/>
      <w:sz w:val="32"/>
      <w:szCs w:val="32"/>
    </w:rPr>
  </w:style>
  <w:style w:type="paragraph" w:styleId="20">
    <w:name w:val="annotation subject"/>
    <w:basedOn w:val="8"/>
    <w:next w:val="8"/>
    <w:link w:val="64"/>
    <w:qFormat/>
    <w:uiPriority w:val="0"/>
    <w:rPr>
      <w:b/>
      <w:bCs/>
      <w:sz w:val="21"/>
      <w:szCs w:val="24"/>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unhideWhenUsed/>
    <w:qFormat/>
    <w:uiPriority w:val="0"/>
    <w:rPr>
      <w:color w:val="800080"/>
      <w:u w:val="single"/>
    </w:rPr>
  </w:style>
  <w:style w:type="character" w:styleId="26">
    <w:name w:val="Hyperlink"/>
    <w:qFormat/>
    <w:uiPriority w:val="99"/>
    <w:rPr>
      <w:color w:val="0000FF"/>
      <w:u w:val="single"/>
    </w:rPr>
  </w:style>
  <w:style w:type="character" w:styleId="27">
    <w:name w:val="annotation reference"/>
    <w:qFormat/>
    <w:uiPriority w:val="99"/>
    <w:rPr>
      <w:sz w:val="21"/>
      <w:szCs w:val="21"/>
    </w:rPr>
  </w:style>
  <w:style w:type="character" w:customStyle="1" w:styleId="28">
    <w:name w:val="标题 1 Char"/>
    <w:basedOn w:val="23"/>
    <w:uiPriority w:val="9"/>
    <w:rPr>
      <w:b/>
      <w:bCs/>
      <w:kern w:val="44"/>
      <w:sz w:val="44"/>
      <w:szCs w:val="44"/>
    </w:rPr>
  </w:style>
  <w:style w:type="character" w:customStyle="1" w:styleId="29">
    <w:name w:val="标题 2 Char"/>
    <w:basedOn w:val="23"/>
    <w:semiHidden/>
    <w:uiPriority w:val="9"/>
    <w:rPr>
      <w:rFonts w:asciiTheme="majorHAnsi" w:hAnsiTheme="majorHAnsi" w:eastAsiaTheme="majorEastAsia" w:cstheme="majorBidi"/>
      <w:b/>
      <w:bCs/>
      <w:sz w:val="32"/>
      <w:szCs w:val="32"/>
    </w:rPr>
  </w:style>
  <w:style w:type="character" w:customStyle="1" w:styleId="30">
    <w:name w:val="标题 3 Char"/>
    <w:basedOn w:val="23"/>
    <w:semiHidden/>
    <w:uiPriority w:val="9"/>
    <w:rPr>
      <w:b/>
      <w:bCs/>
      <w:sz w:val="32"/>
      <w:szCs w:val="32"/>
    </w:rPr>
  </w:style>
  <w:style w:type="character" w:customStyle="1" w:styleId="31">
    <w:name w:val="标题 4 Char"/>
    <w:basedOn w:val="23"/>
    <w:semiHidden/>
    <w:uiPriority w:val="9"/>
    <w:rPr>
      <w:rFonts w:asciiTheme="majorHAnsi" w:hAnsiTheme="majorHAnsi" w:eastAsiaTheme="majorEastAsia" w:cstheme="majorBidi"/>
      <w:b/>
      <w:bCs/>
      <w:sz w:val="28"/>
      <w:szCs w:val="28"/>
    </w:rPr>
  </w:style>
  <w:style w:type="character" w:customStyle="1" w:styleId="32">
    <w:name w:val="标题 1 字符"/>
    <w:link w:val="2"/>
    <w:qFormat/>
    <w:uiPriority w:val="0"/>
    <w:rPr>
      <w:rFonts w:ascii="Times New Roman" w:hAnsi="Times New Roman" w:eastAsia="宋体" w:cs="Times New Roman"/>
      <w:b/>
      <w:bCs/>
      <w:kern w:val="44"/>
      <w:sz w:val="44"/>
      <w:szCs w:val="44"/>
    </w:rPr>
  </w:style>
  <w:style w:type="character" w:customStyle="1" w:styleId="33">
    <w:name w:val="标题 2 字符"/>
    <w:link w:val="3"/>
    <w:qFormat/>
    <w:uiPriority w:val="0"/>
    <w:rPr>
      <w:rFonts w:ascii="Arial" w:hAnsi="Arial" w:eastAsia="黑体" w:cs="Times New Roman"/>
      <w:b/>
      <w:bCs/>
      <w:sz w:val="32"/>
      <w:szCs w:val="32"/>
    </w:rPr>
  </w:style>
  <w:style w:type="character" w:customStyle="1" w:styleId="34">
    <w:name w:val="标题 3 字符"/>
    <w:link w:val="4"/>
    <w:uiPriority w:val="0"/>
    <w:rPr>
      <w:rFonts w:ascii="Times New Roman" w:hAnsi="Times New Roman" w:eastAsia="宋体" w:cs="Times New Roman"/>
      <w:b/>
      <w:bCs/>
      <w:sz w:val="32"/>
      <w:szCs w:val="32"/>
    </w:rPr>
  </w:style>
  <w:style w:type="character" w:customStyle="1" w:styleId="35">
    <w:name w:val="标题 4 字符"/>
    <w:link w:val="5"/>
    <w:qFormat/>
    <w:uiPriority w:val="0"/>
    <w:rPr>
      <w:rFonts w:ascii="Cambria" w:hAnsi="Cambria" w:eastAsia="宋体" w:cs="Times New Roman"/>
      <w:b/>
      <w:bCs/>
      <w:sz w:val="28"/>
      <w:szCs w:val="28"/>
    </w:rPr>
  </w:style>
  <w:style w:type="character" w:customStyle="1" w:styleId="36">
    <w:name w:val="正文缩进 字符"/>
    <w:link w:val="6"/>
    <w:uiPriority w:val="0"/>
    <w:rPr>
      <w:rFonts w:ascii="Times New Roman" w:hAnsi="Times New Roman" w:eastAsia="宋体" w:cs="Times New Roman"/>
      <w:szCs w:val="24"/>
    </w:rPr>
  </w:style>
  <w:style w:type="character" w:customStyle="1" w:styleId="37">
    <w:name w:val="文档结构图 Char"/>
    <w:basedOn w:val="23"/>
    <w:semiHidden/>
    <w:uiPriority w:val="99"/>
    <w:rPr>
      <w:rFonts w:ascii="Microsoft YaHei UI" w:eastAsia="Microsoft YaHei UI"/>
      <w:sz w:val="18"/>
      <w:szCs w:val="18"/>
    </w:rPr>
  </w:style>
  <w:style w:type="character" w:customStyle="1" w:styleId="38">
    <w:name w:val="文档结构图 字符"/>
    <w:link w:val="7"/>
    <w:semiHidden/>
    <w:uiPriority w:val="0"/>
    <w:rPr>
      <w:rFonts w:ascii="Times New Roman" w:hAnsi="Times New Roman" w:eastAsia="宋体" w:cs="Times New Roman"/>
      <w:szCs w:val="24"/>
      <w:shd w:val="clear" w:color="auto" w:fill="000080"/>
    </w:rPr>
  </w:style>
  <w:style w:type="character" w:customStyle="1" w:styleId="39">
    <w:name w:val="批注文字 Char"/>
    <w:basedOn w:val="23"/>
    <w:qFormat/>
    <w:uiPriority w:val="0"/>
  </w:style>
  <w:style w:type="character" w:customStyle="1" w:styleId="40">
    <w:name w:val="批注文字 字符"/>
    <w:link w:val="8"/>
    <w:qFormat/>
    <w:uiPriority w:val="99"/>
    <w:rPr>
      <w:rFonts w:ascii="Calibri" w:hAnsi="Calibri" w:eastAsia="宋体" w:cs="Times New Roman"/>
      <w:sz w:val="18"/>
    </w:rPr>
  </w:style>
  <w:style w:type="character" w:customStyle="1" w:styleId="41">
    <w:name w:val="正文文本 Char"/>
    <w:basedOn w:val="23"/>
    <w:semiHidden/>
    <w:uiPriority w:val="99"/>
  </w:style>
  <w:style w:type="character" w:customStyle="1" w:styleId="42">
    <w:name w:val="正文文本 字符"/>
    <w:link w:val="9"/>
    <w:uiPriority w:val="0"/>
    <w:rPr>
      <w:rFonts w:ascii="Times New Roman" w:hAnsi="Times New Roman" w:eastAsia="宋体" w:cs="Times New Roman"/>
      <w:szCs w:val="24"/>
    </w:rPr>
  </w:style>
  <w:style w:type="character" w:customStyle="1" w:styleId="43">
    <w:name w:val="正文文本缩进 Char"/>
    <w:basedOn w:val="23"/>
    <w:semiHidden/>
    <w:uiPriority w:val="99"/>
  </w:style>
  <w:style w:type="character" w:customStyle="1" w:styleId="44">
    <w:name w:val="正文文本缩进 字符"/>
    <w:uiPriority w:val="0"/>
    <w:rPr>
      <w:rFonts w:ascii="Times New Roman" w:hAnsi="Times New Roman" w:eastAsia="宋体" w:cs="Times New Roman"/>
      <w:sz w:val="32"/>
      <w:szCs w:val="20"/>
    </w:rPr>
  </w:style>
  <w:style w:type="paragraph" w:customStyle="1" w:styleId="45">
    <w:name w:val="_Style 29"/>
    <w:basedOn w:val="1"/>
    <w:next w:val="46"/>
    <w:qFormat/>
    <w:uiPriority w:val="0"/>
    <w:pPr>
      <w:ind w:firstLine="420" w:firstLineChars="200"/>
    </w:pPr>
    <w:rPr>
      <w:rFonts w:ascii="Times New Roman" w:hAnsi="Times New Roman" w:eastAsia="宋体" w:cs="Times New Roman"/>
      <w:kern w:val="0"/>
      <w:sz w:val="20"/>
      <w:szCs w:val="24"/>
    </w:rPr>
  </w:style>
  <w:style w:type="paragraph" w:styleId="46">
    <w:name w:val="List Paragraph"/>
    <w:basedOn w:val="1"/>
    <w:qFormat/>
    <w:uiPriority w:val="34"/>
    <w:pPr>
      <w:ind w:firstLine="420" w:firstLineChars="200"/>
    </w:pPr>
    <w:rPr>
      <w:rFonts w:ascii="Times New Roman" w:hAnsi="Times New Roman" w:eastAsia="宋体" w:cs="Times New Roman"/>
      <w:szCs w:val="24"/>
    </w:rPr>
  </w:style>
  <w:style w:type="character" w:customStyle="1" w:styleId="47">
    <w:name w:val="纯文本 Char"/>
    <w:basedOn w:val="23"/>
    <w:semiHidden/>
    <w:uiPriority w:val="99"/>
    <w:rPr>
      <w:rFonts w:ascii="宋体" w:hAnsi="Courier New" w:eastAsia="宋体" w:cs="Courier New"/>
      <w:szCs w:val="21"/>
    </w:rPr>
  </w:style>
  <w:style w:type="character" w:customStyle="1" w:styleId="48">
    <w:name w:val="纯文本 字符"/>
    <w:link w:val="11"/>
    <w:unhideWhenUsed/>
    <w:uiPriority w:val="0"/>
    <w:rPr>
      <w:rFonts w:ascii="宋体" w:hAnsi="Tms Rmn" w:eastAsia="宋体" w:cs="Times New Roman"/>
    </w:rPr>
  </w:style>
  <w:style w:type="character" w:customStyle="1" w:styleId="49">
    <w:name w:val="正文文本缩进 2 Char"/>
    <w:basedOn w:val="23"/>
    <w:semiHidden/>
    <w:uiPriority w:val="99"/>
  </w:style>
  <w:style w:type="character" w:customStyle="1" w:styleId="50">
    <w:name w:val="正文文本缩进 2 字符"/>
    <w:link w:val="12"/>
    <w:uiPriority w:val="0"/>
    <w:rPr>
      <w:rFonts w:ascii="Times New Roman" w:hAnsi="Times New Roman" w:eastAsia="宋体" w:cs="Times New Roman"/>
      <w:szCs w:val="24"/>
    </w:rPr>
  </w:style>
  <w:style w:type="character" w:customStyle="1" w:styleId="51">
    <w:name w:val="批注框文本 Char"/>
    <w:basedOn w:val="23"/>
    <w:semiHidden/>
    <w:uiPriority w:val="99"/>
    <w:rPr>
      <w:sz w:val="18"/>
      <w:szCs w:val="18"/>
    </w:rPr>
  </w:style>
  <w:style w:type="character" w:customStyle="1" w:styleId="52">
    <w:name w:val="批注框文本 字符"/>
    <w:link w:val="13"/>
    <w:qFormat/>
    <w:uiPriority w:val="0"/>
    <w:rPr>
      <w:rFonts w:ascii="Times New Roman" w:hAnsi="Times New Roman" w:eastAsia="宋体" w:cs="Times New Roman"/>
      <w:sz w:val="18"/>
      <w:szCs w:val="18"/>
    </w:rPr>
  </w:style>
  <w:style w:type="character" w:customStyle="1" w:styleId="53">
    <w:name w:val="页脚 Char"/>
    <w:basedOn w:val="23"/>
    <w:semiHidden/>
    <w:uiPriority w:val="99"/>
    <w:rPr>
      <w:sz w:val="18"/>
      <w:szCs w:val="18"/>
    </w:rPr>
  </w:style>
  <w:style w:type="character" w:customStyle="1" w:styleId="54">
    <w:name w:val="页脚 字符"/>
    <w:link w:val="14"/>
    <w:qFormat/>
    <w:uiPriority w:val="99"/>
    <w:rPr>
      <w:rFonts w:ascii="Times New Roman" w:hAnsi="Times New Roman" w:eastAsia="宋体" w:cs="Times New Roman"/>
      <w:sz w:val="18"/>
      <w:szCs w:val="18"/>
    </w:rPr>
  </w:style>
  <w:style w:type="character" w:customStyle="1" w:styleId="55">
    <w:name w:val="页眉 Char"/>
    <w:basedOn w:val="23"/>
    <w:semiHidden/>
    <w:uiPriority w:val="99"/>
    <w:rPr>
      <w:sz w:val="18"/>
      <w:szCs w:val="18"/>
    </w:rPr>
  </w:style>
  <w:style w:type="character" w:customStyle="1" w:styleId="56">
    <w:name w:val="页眉 字符"/>
    <w:link w:val="15"/>
    <w:qFormat/>
    <w:uiPriority w:val="0"/>
    <w:rPr>
      <w:rFonts w:ascii="Times New Roman" w:hAnsi="Times New Roman" w:eastAsia="宋体" w:cs="Times New Roman"/>
      <w:sz w:val="18"/>
      <w:szCs w:val="18"/>
    </w:rPr>
  </w:style>
  <w:style w:type="character" w:customStyle="1" w:styleId="57">
    <w:name w:val="副标题 Char"/>
    <w:basedOn w:val="23"/>
    <w:uiPriority w:val="11"/>
    <w:rPr>
      <w:rFonts w:eastAsia="宋体" w:asciiTheme="majorHAnsi" w:hAnsiTheme="majorHAnsi" w:cstheme="majorBidi"/>
      <w:b/>
      <w:bCs/>
      <w:kern w:val="28"/>
      <w:sz w:val="32"/>
      <w:szCs w:val="32"/>
    </w:rPr>
  </w:style>
  <w:style w:type="character" w:customStyle="1" w:styleId="58">
    <w:name w:val="副标题 字符"/>
    <w:link w:val="16"/>
    <w:uiPriority w:val="11"/>
    <w:rPr>
      <w:rFonts w:ascii="Cambria" w:hAnsi="Cambria" w:eastAsia="宋体" w:cs="Times New Roman"/>
      <w:b/>
      <w:bCs/>
      <w:kern w:val="28"/>
      <w:sz w:val="32"/>
      <w:szCs w:val="32"/>
    </w:rPr>
  </w:style>
  <w:style w:type="character" w:customStyle="1" w:styleId="59">
    <w:name w:val="正文文本缩进 3 Char"/>
    <w:basedOn w:val="23"/>
    <w:semiHidden/>
    <w:uiPriority w:val="99"/>
    <w:rPr>
      <w:sz w:val="16"/>
      <w:szCs w:val="16"/>
    </w:rPr>
  </w:style>
  <w:style w:type="character" w:customStyle="1" w:styleId="60">
    <w:name w:val="正文文本缩进 3 字符"/>
    <w:link w:val="17"/>
    <w:qFormat/>
    <w:uiPriority w:val="0"/>
    <w:rPr>
      <w:rFonts w:ascii="Times New Roman" w:hAnsi="Times New Roman" w:eastAsia="宋体" w:cs="Times New Roman"/>
      <w:sz w:val="16"/>
      <w:szCs w:val="16"/>
    </w:rPr>
  </w:style>
  <w:style w:type="character" w:customStyle="1" w:styleId="61">
    <w:name w:val="标题 Char"/>
    <w:basedOn w:val="23"/>
    <w:uiPriority w:val="10"/>
    <w:rPr>
      <w:rFonts w:eastAsia="宋体" w:asciiTheme="majorHAnsi" w:hAnsiTheme="majorHAnsi" w:cstheme="majorBidi"/>
      <w:b/>
      <w:bCs/>
      <w:sz w:val="32"/>
      <w:szCs w:val="32"/>
    </w:rPr>
  </w:style>
  <w:style w:type="character" w:customStyle="1" w:styleId="62">
    <w:name w:val="标题 字符"/>
    <w:link w:val="19"/>
    <w:uiPriority w:val="10"/>
    <w:rPr>
      <w:rFonts w:ascii="Cambria" w:hAnsi="Cambria" w:eastAsia="宋体" w:cs="Times New Roman"/>
      <w:b/>
      <w:bCs/>
      <w:sz w:val="32"/>
      <w:szCs w:val="32"/>
    </w:rPr>
  </w:style>
  <w:style w:type="character" w:customStyle="1" w:styleId="63">
    <w:name w:val="批注主题 Char"/>
    <w:basedOn w:val="39"/>
    <w:semiHidden/>
    <w:uiPriority w:val="99"/>
    <w:rPr>
      <w:b/>
      <w:bCs/>
    </w:rPr>
  </w:style>
  <w:style w:type="character" w:customStyle="1" w:styleId="64">
    <w:name w:val="批注主题 字符"/>
    <w:link w:val="20"/>
    <w:qFormat/>
    <w:uiPriority w:val="0"/>
    <w:rPr>
      <w:rFonts w:ascii="Calibri" w:hAnsi="Calibri" w:eastAsia="宋体" w:cs="Times New Roman"/>
      <w:b/>
      <w:bCs/>
      <w:szCs w:val="24"/>
    </w:rPr>
  </w:style>
  <w:style w:type="character" w:customStyle="1" w:styleId="65">
    <w:name w:val="页脚 Char1"/>
    <w:qFormat/>
    <w:uiPriority w:val="0"/>
    <w:rPr>
      <w:rFonts w:eastAsia="宋体"/>
      <w:kern w:val="2"/>
      <w:sz w:val="18"/>
      <w:lang w:val="en-US" w:eastAsia="zh-CN" w:bidi="ar-SA"/>
    </w:rPr>
  </w:style>
  <w:style w:type="character" w:customStyle="1" w:styleId="66">
    <w:name w:val="页眉 Char1"/>
    <w:qFormat/>
    <w:uiPriority w:val="0"/>
    <w:rPr>
      <w:rFonts w:eastAsia="宋体"/>
      <w:kern w:val="2"/>
      <w:sz w:val="18"/>
      <w:lang w:val="en-US" w:eastAsia="zh-CN" w:bidi="ar-SA"/>
    </w:rPr>
  </w:style>
  <w:style w:type="paragraph" w:customStyle="1" w:styleId="6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68">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6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0">
    <w:name w:val="表格"/>
    <w:basedOn w:val="1"/>
    <w:uiPriority w:val="0"/>
    <w:pPr>
      <w:spacing w:line="400" w:lineRule="exact"/>
    </w:pPr>
    <w:rPr>
      <w:rFonts w:ascii="Times New Roman" w:hAnsi="Times New Roman" w:eastAsia="宋体" w:cs="Times New Roman"/>
      <w:sz w:val="24"/>
      <w:szCs w:val="24"/>
    </w:rPr>
  </w:style>
  <w:style w:type="paragraph" w:customStyle="1" w:styleId="71">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72">
    <w:name w:val="（符号）邀请函中一、"/>
    <w:qFormat/>
    <w:uiPriority w:val="0"/>
    <w:rPr>
      <w:rFonts w:ascii="黑体" w:hAnsi="黑体" w:eastAsia="黑体"/>
      <w:b/>
      <w:bCs/>
      <w:sz w:val="24"/>
    </w:rPr>
  </w:style>
  <w:style w:type="character" w:customStyle="1" w:styleId="73">
    <w:name w:val="Char Char9"/>
    <w:qFormat/>
    <w:uiPriority w:val="0"/>
    <w:rPr>
      <w:kern w:val="2"/>
      <w:sz w:val="21"/>
    </w:rPr>
  </w:style>
  <w:style w:type="character" w:customStyle="1" w:styleId="74">
    <w:name w:val="纯文本 Char1"/>
    <w:qFormat/>
    <w:uiPriority w:val="99"/>
    <w:rPr>
      <w:rFonts w:ascii="宋体" w:hAnsi="Courier New" w:eastAsia="宋体" w:cs="Courier New"/>
      <w:szCs w:val="21"/>
    </w:rPr>
  </w:style>
  <w:style w:type="paragraph" w:customStyle="1" w:styleId="75">
    <w:name w:val="GW-正文"/>
    <w:basedOn w:val="1"/>
    <w:link w:val="76"/>
    <w:qFormat/>
    <w:uiPriority w:val="0"/>
    <w:pPr>
      <w:spacing w:line="360" w:lineRule="auto"/>
      <w:ind w:firstLine="200" w:firstLineChars="200"/>
    </w:pPr>
    <w:rPr>
      <w:rFonts w:ascii="Times New Roman" w:hAnsi="Times New Roman" w:eastAsia="仿宋_GB2312" w:cs="Times New Roman"/>
      <w:sz w:val="24"/>
      <w:szCs w:val="24"/>
    </w:rPr>
  </w:style>
  <w:style w:type="character" w:customStyle="1" w:styleId="76">
    <w:name w:val="GW-正文 Char"/>
    <w:link w:val="75"/>
    <w:qFormat/>
    <w:uiPriority w:val="0"/>
    <w:rPr>
      <w:rFonts w:ascii="Times New Roman" w:hAnsi="Times New Roman" w:eastAsia="仿宋_GB2312" w:cs="Times New Roman"/>
      <w:sz w:val="24"/>
      <w:szCs w:val="24"/>
    </w:rPr>
  </w:style>
  <w:style w:type="character" w:customStyle="1" w:styleId="77">
    <w:name w:val="列表段落 字符"/>
    <w:uiPriority w:val="0"/>
    <w:rPr>
      <w:rFonts w:ascii="Times New Roman" w:hAnsi="Times New Roman"/>
      <w:szCs w:val="24"/>
    </w:rPr>
  </w:style>
  <w:style w:type="paragraph" w:customStyle="1" w:styleId="78">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cs="Times New Roman"/>
      <w:sz w:val="28"/>
      <w:szCs w:val="20"/>
    </w:rPr>
  </w:style>
  <w:style w:type="character" w:customStyle="1" w:styleId="79">
    <w:name w:val="标题 2 Char Char"/>
    <w:qFormat/>
    <w:uiPriority w:val="0"/>
    <w:rPr>
      <w:rFonts w:ascii="Arial" w:hAnsi="Arial" w:eastAsia="黑体"/>
      <w:b/>
      <w:kern w:val="2"/>
      <w:sz w:val="28"/>
      <w:lang w:val="en-US" w:eastAsia="zh-CN" w:bidi="ar-SA"/>
    </w:rPr>
  </w:style>
  <w:style w:type="character" w:customStyle="1" w:styleId="80">
    <w:name w:val="标题 1 Char1"/>
    <w:qFormat/>
    <w:uiPriority w:val="0"/>
    <w:rPr>
      <w:b/>
      <w:bCs/>
      <w:kern w:val="44"/>
      <w:sz w:val="44"/>
      <w:szCs w:val="44"/>
    </w:rPr>
  </w:style>
  <w:style w:type="character" w:customStyle="1" w:styleId="81">
    <w:name w:val="（符号）三标题1.1 Char"/>
    <w:link w:val="82"/>
    <w:locked/>
    <w:uiPriority w:val="0"/>
    <w:rPr>
      <w:rFonts w:ascii="宋体" w:hAnsi="宋体"/>
      <w:sz w:val="24"/>
      <w:szCs w:val="24"/>
    </w:rPr>
  </w:style>
  <w:style w:type="paragraph" w:customStyle="1" w:styleId="82">
    <w:name w:val="（符号）三标题1.1"/>
    <w:basedOn w:val="1"/>
    <w:link w:val="81"/>
    <w:qFormat/>
    <w:uiPriority w:val="0"/>
    <w:pPr>
      <w:tabs>
        <w:tab w:val="left" w:pos="700"/>
        <w:tab w:val="left" w:pos="840"/>
      </w:tabs>
      <w:spacing w:line="500" w:lineRule="exact"/>
      <w:ind w:left="840" w:hanging="420"/>
    </w:pPr>
    <w:rPr>
      <w:rFonts w:ascii="宋体" w:hAnsi="宋体"/>
      <w:sz w:val="24"/>
      <w:szCs w:val="24"/>
    </w:rPr>
  </w:style>
  <w:style w:type="paragraph" w:customStyle="1" w:styleId="83">
    <w:name w:val="Char2 Char Char"/>
    <w:basedOn w:val="7"/>
    <w:uiPriority w:val="0"/>
    <w:rPr>
      <w:rFonts w:ascii="Tahoma" w:hAnsi="Tahoma"/>
      <w:sz w:val="24"/>
    </w:rPr>
  </w:style>
  <w:style w:type="paragraph" w:customStyle="1" w:styleId="84">
    <w:name w:val="正文2"/>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customStyle="1" w:styleId="85">
    <w:name w:val="Char1"/>
    <w:basedOn w:val="1"/>
    <w:uiPriority w:val="0"/>
    <w:rPr>
      <w:rFonts w:ascii="Times New Roman" w:hAnsi="Times New Roman" w:eastAsia="宋体" w:cs="Times New Roman"/>
      <w:szCs w:val="21"/>
    </w:rPr>
  </w:style>
  <w:style w:type="paragraph" w:customStyle="1" w:styleId="86">
    <w:name w:val="正文11"/>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87">
    <w:name w:val="Char2"/>
    <w:basedOn w:val="1"/>
    <w:uiPriority w:val="0"/>
    <w:pPr>
      <w:adjustRightInd w:val="0"/>
      <w:spacing w:line="400" w:lineRule="exact"/>
      <w:ind w:firstLine="514" w:firstLineChars="200"/>
    </w:pPr>
    <w:rPr>
      <w:rFonts w:ascii="宋体" w:hAnsi="宋体" w:eastAsia="宋体" w:cs="Times New Roman"/>
      <w:b/>
      <w:spacing w:val="8"/>
      <w:kern w:val="0"/>
      <w:sz w:val="24"/>
      <w:szCs w:val="20"/>
    </w:rPr>
  </w:style>
  <w:style w:type="paragraph" w:customStyle="1" w:styleId="88">
    <w:name w:val="Char Char Char Char Char Char Char Char Char Char Char Char Char Char1 Char Char Char Char"/>
    <w:basedOn w:val="1"/>
    <w:qFormat/>
    <w:uiPriority w:val="0"/>
    <w:rPr>
      <w:rFonts w:ascii="Times New Roman" w:hAnsi="Times New Roman" w:eastAsia="宋体" w:cs="Times New Roman"/>
      <w:szCs w:val="21"/>
    </w:rPr>
  </w:style>
  <w:style w:type="paragraph" w:customStyle="1" w:styleId="89">
    <w:name w:val="正文3"/>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90">
    <w:name w:val="font31"/>
    <w:qFormat/>
    <w:uiPriority w:val="0"/>
    <w:rPr>
      <w:rFonts w:hint="eastAsia" w:ascii="宋体" w:hAnsi="宋体" w:eastAsia="宋体" w:cs="宋体"/>
      <w:color w:val="000000"/>
      <w:sz w:val="21"/>
      <w:szCs w:val="21"/>
      <w:u w:val="none"/>
    </w:rPr>
  </w:style>
  <w:style w:type="paragraph" w:customStyle="1" w:styleId="9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92">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8398</Words>
  <Characters>11929</Characters>
  <Lines>109</Lines>
  <Paragraphs>30</Paragraphs>
  <TotalTime>1</TotalTime>
  <ScaleCrop>false</ScaleCrop>
  <LinksUpToDate>false</LinksUpToDate>
  <CharactersWithSpaces>12026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2023-08-21T04:49:00Z</dcterms:created>
  <dc:creator>Administrator</dc:creator>
  <cp:lastModifiedBy>Administrator</cp:lastModifiedBy>
  <dcterms:modified xsi:type="dcterms:W3CDTF">2023-08-22T00:30:03Z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8F32206AC15344D7AC57CF9A43207D13_13</vt:lpwstr>
  </property>
</Properties>
</file>