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四川省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bidi="ar"/>
        </w:rPr>
        <w:t>中医药文化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宣传教育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bidi="ar"/>
        </w:rPr>
        <w:t>基地暨富顺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县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bidi="ar"/>
        </w:rPr>
        <w:t>中医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医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bidi="ar"/>
        </w:rPr>
        <w:t>院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医博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bidi="ar"/>
        </w:rPr>
        <w:t>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bidi="ar"/>
        </w:rPr>
        <w:t>展陈大纲和概念设计方案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市场调研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eastAsia="zh-Hans" w:bidi="ar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shd w:val="clear" w:color="auto" w:fill="FFFFFF"/>
          <w:lang w:eastAsia="zh-Hans" w:bidi="ar"/>
        </w:rPr>
        <w:t>一、项目概况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四川省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中医药文化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宣传教育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基地暨富顺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县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中医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医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院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医博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馆位于自贡市富顺县中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医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医院同心院区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Hans" w:bidi="ar"/>
        </w:rPr>
        <w:t>富顺县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东湖大道1801号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）1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楼，建筑面积约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5600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平方米，作为我院精神文明建设和医院文化建设的重要载体，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医博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馆内部建设应庄重、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Hans" w:bidi="ar"/>
        </w:rPr>
        <w:t>现代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、大气展示成就、开启未来、宣传育人、发扬中医文化等多项功能，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Hans" w:bidi="ar"/>
        </w:rPr>
        <w:t>其中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总布展面积约 633 平方米。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shd w:val="clear" w:color="auto" w:fill="FFFFFF"/>
          <w:lang w:bidi="ar"/>
        </w:rPr>
        <w:t>展陈大纲和概念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shd w:val="clear" w:color="auto" w:fill="FFFFFF"/>
          <w:lang w:eastAsia="zh-Hans" w:bidi="ar"/>
        </w:rPr>
        <w:t>设计相关要求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（一）工作范围、内容与标准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1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设计范围：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室内布展设计和室外装饰设计。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设计内容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（1）布展大纲的撰写；（2）展馆主题定位；（3）功能和展区布局；（4）展项内容和面积；（5）展示方式和手段；（6）装饰装修风格；（7）交通流线组织；（8）数字及多媒体系统运用；（9）艺术品系统等。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）总体要求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1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目标：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国际领先、国内一流、兼容并包、风格独特的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Hans" w:bidi="ar"/>
        </w:rPr>
        <w:t>展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2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性质：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集收藏、研究、展示、教育、交流等功能于一体的新时代综合性展馆。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3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特点：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充分体现“产教融合”的先进发展理念。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4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风格：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简洁、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Hans" w:bidi="ar"/>
        </w:rPr>
        <w:t>现代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大气、创新、实用。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5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技术：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综合运用现代高科技展示技术，体现技术的先进性、可靠性、安全性。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6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运行：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兼顾展馆日常运行、后期维护的高效性、操作性和经济性需求。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其他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1.主题要求: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基本陈列的主题应当高度凝练、内涵丰富、有概括性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设计单位应根据展陈纲要和各自设计思路自主设计展陈流线、展陈分区、展示方式等内容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利用文物、图片、模型、影视、缩微景观、互动数字媒体等多种展示手段体现川派中医文化的特色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并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实现科普教育目的。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2.展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陈流线要求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要求展陈流线顺畅，避免出现人流交叉现象，要考虑不同参观对象的不同需求，考虑人性化设计、无障碍设计。在不破坏建筑结构、保证安全的情况下，合理安排参观流线。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3.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色彩要求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展馆内部主色调定位要准确、恰当、把握好度。应避免因色彩过于单一、平淡而导致展示效果整体乏味，降低观众参观的兴趣；同时，也应当避免因色彩过于繁杂而让观众产生视觉疲劳。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4.照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明要求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应当通过优化的照明组合，烘托环境气氛、创造丰富空间感和层次感，营造良好的视觉情绪氛围。展馆灯光运用，要兼顾节能、环保的需求，减少后期运行维护的成本。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5.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eastAsia="zh-Hans" w:bidi="ar"/>
        </w:rPr>
        <w:t>内容要求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（1）展区设计布局要为内容和功能服务，力求在功能分区、展览空间、流线设计以及通风、采光、节能等问题上下功夫，力争形式与内容完美结合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）展区之间力求过渡自然，避免呆板分隔，保证通行线路流畅和观众安全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）功能区域明确，方便管理使用，避免运行时互相干扰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）单个展区设计应主线明晰，突出主题、富有特色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。（5）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展区内容配置上以馆藏文物、复制文物、图文资料展示，并且要注意与重点项目的有机结合。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（6）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Hans" w:bidi="ar"/>
        </w:rPr>
        <w:t>展陈设计应用多媒体技术、实体模型、展板等方式进行展示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申请人资格要求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符合《中华人民共和国政府采购法》第二十二条资格条件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营业执照：具备有效的营业执照。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.资质要求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具有建筑行业(建筑工程)甲级或建筑装饰工程设计专项甲级资质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服务方案要求（设计单位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非必要提供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以下内容）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设计单位完成项目展陈概念性方案设计，对馆内（包括但不限于序厅、展厅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）进行统筹策划和设计。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2.</w:t>
      </w:r>
      <w:r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根据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相关要求</w:t>
      </w:r>
      <w:r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提出展陈大纲，提炼展陈概念方案主题。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3.</w:t>
      </w:r>
      <w:r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设计方案大纲文本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展览大纲需包含单元主题及详细内容脚本、展品、图片等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4.</w:t>
      </w:r>
      <w:r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设计方案方案文本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投标文件的图像均须提交高清彩图，包括但不限于平面布置图、参观路线，以及各个主要视角效果图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bidi="ar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0"/>
        <w:textAlignment w:val="auto"/>
        <w:rPr>
          <w:rFonts w:hint="default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五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28"/>
          <w:szCs w:val="28"/>
          <w:u w:val="none"/>
        </w:rPr>
        <w:t>、现场勘察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及素材获取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至2023年6月9日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</w:rPr>
        <w:t>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08:00-12:00，下午14:30-17:30。联系人：罗老师；联系电话：18990073018。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六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28"/>
          <w:szCs w:val="28"/>
          <w:u w:val="none"/>
        </w:rPr>
        <w:t>、方案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及报价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28"/>
          <w:szCs w:val="28"/>
          <w:u w:val="none"/>
        </w:rPr>
        <w:t>提交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截止时间：2023年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eastAsia="zh-Hans" w:bidi="ar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点（北京时间）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</w:rPr>
        <w:t>地点：所有资料必须以密封形式在规定时间前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邮寄或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</w:rPr>
        <w:t>递交至富顺县中医医院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  <w:lang w:val="en-US" w:eastAsia="zh-CN"/>
        </w:rPr>
        <w:t>后勤科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28"/>
          <w:szCs w:val="28"/>
          <w:u w:val="none"/>
        </w:rPr>
        <w:t>办公室（富顺县东湖大道1801号）。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28"/>
          <w:szCs w:val="28"/>
          <w:u w:val="none"/>
        </w:rPr>
        <w:t>七、凡对本次市场调研提出询问，请按以下方式联系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</w:rPr>
        <w:t>项目联系人：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</w:rPr>
        <w:t>老师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</w:rPr>
        <w:t>咨询电话：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18990073018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</w:rPr>
        <w:t>纪检监督电话：0813-5156615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八、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bidi="ar"/>
        </w:rPr>
        <w:t>报价清单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四川省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中医药文化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宣传教育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基地—暨富顺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医院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展陈大纲和概念设计方案</w:t>
      </w:r>
    </w:p>
    <w:tbl>
      <w:tblPr>
        <w:tblStyle w:val="5"/>
        <w:tblW w:w="8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50"/>
        <w:gridCol w:w="2667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建设内容及规模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设计费（万元）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中医药文化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宣传教育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基地暨富顺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馆展陈大纲和概念设计</w:t>
            </w:r>
          </w:p>
          <w:p>
            <w:pPr>
              <w:rPr>
                <w:rFonts w:hint="default"/>
                <w:lang w:eastAsia="zh-Hans"/>
              </w:rPr>
            </w:pPr>
          </w:p>
        </w:tc>
        <w:tc>
          <w:tcPr>
            <w:tcW w:w="2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eastAsia="zh-Hans" w:bidi="ar"/>
              </w:rPr>
              <w:t>建筑面积约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eastAsia="zh-Hans" w:bidi="ar"/>
              </w:rPr>
              <w:t>5600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eastAsia="zh-Hans" w:bidi="ar"/>
              </w:rPr>
              <w:t>平方米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eastAsia="zh-Hans" w:bidi="ar"/>
              </w:rPr>
              <w:t>，其中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  <w:t>布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eastAsia="zh-Hans" w:bidi="ar"/>
              </w:rPr>
              <w:t>展面积约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eastAsia="zh-Hans" w:bidi="ar"/>
              </w:rPr>
              <w:t>633</w:t>
            </w: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eastAsia="zh-Hans" w:bidi="ar"/>
              </w:rPr>
              <w:t>平方米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86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合  计（万元）</w:t>
            </w:r>
          </w:p>
        </w:tc>
        <w:tc>
          <w:tcPr>
            <w:tcW w:w="549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53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eastAsia="zh-Hans" w:bidi="ar"/>
              </w:rPr>
              <w:t>报价包含但不限于：设计费、差旅费、税费等费用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且投标人中标后不得转包。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53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联系人：                      联系电话：</w:t>
            </w: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九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富顺县中医医院同心院区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一层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平面图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</w:pPr>
      <w:r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CN" w:bidi="ar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Hans" w:bidi="ar"/>
        </w:rPr>
        <w:t>黑框内为医博馆区域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eastAsia="zh-Hans" w:bidi="ar"/>
        </w:rPr>
        <w:t>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/>
          <w:color w:val="auto"/>
        </w:rPr>
        <w:drawing>
          <wp:inline distT="0" distB="0" distL="114300" distR="114300">
            <wp:extent cx="5270500" cy="3723005"/>
            <wp:effectExtent l="0" t="0" r="12700" b="10795"/>
            <wp:docPr id="8" name="图片 8" descr="改富顺中医院二期建施a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改富顺中医院二期建施a1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701040</wp:posOffset>
                </wp:positionV>
                <wp:extent cx="897255" cy="1704975"/>
                <wp:effectExtent l="14605" t="13970" r="27940" b="336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49095" y="2131060"/>
                          <a:ext cx="897255" cy="1704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4pt;margin-top:55.2pt;height:134.25pt;width:70.65pt;z-index:251659264;v-text-anchor:middle;mso-width-relative:page;mso-height-relative:page;" filled="f" stroked="t" coordsize="21600,21600" o:gfxdata="UEsDBAoAAAAAAIdO4kAAAAAAAAAAAAAAAAAEAAAAZHJzL1BLAwQUAAAACACHTuJAkAeMxtkAAAAK&#10;AQAADwAAAGRycy9kb3ducmV2LnhtbE2PT0+EMBDF7yZ+h2ZMvLlt8Q+IlI0hetGsiatRjwVGINIp&#10;od1l/faOJz3Om5f3fq9YH9wo9jiHwZMBvVIgkBrfDtQZeH25P8tAhGiptaMnNPCNAdbl8VFh89Yv&#10;9Iz7bewEh1DIrYE+ximXMjQ9OhtWfkLi36efnY18zp1sZ7twuBtlotSVdHYgbujthFWPzdd25wzc&#10;Snp41NWSpU+b98vq7c5Ptf8w5vREqxsQEQ/xzwy/+IwOJTPVfkdtEKOBVDF5ZF2rCxBsSHSiQdQG&#10;ztPsGmRZyP8Tyh9QSwMEFAAAAAgAh07iQLBkjel0AgAA1wQAAA4AAABkcnMvZTJvRG9jLnhtbK1U&#10;S27bMBDdF+gdCO4bSa4dR0LkwIiRokDQGEiLrscUZRHgryRtOb1Mge56iByn6DU6pJTETbvIol7Q&#10;Q83wDd/jI88vDkqSPXdeGF3T4iSnhGtmGqG3Nf308erNGSU+gG5AGs1resc9vVi8fnXe24pPTGdk&#10;wx1BEO2r3ta0C8FWWeZZxxX4E2O5xmRrnIKAU7fNGgc9oiuZTfL8NOuNa6wzjHuPX1dDko6I7iWA&#10;pm0F4yvDdorrMKA6LiEgJd8J6+ki7bZtOQs3bet5ILKmyDSkEZtgvIljtjiHauvAdoKNW4CXbOEZ&#10;JwVCY9NHqBUEIDsn/oJSgjnjTRtOmFHZQCQpgiyK/Jk2tx1Ynrig1N4+iu7/Hyz7sF87IpqalpRo&#10;UHjgv779+Hn/nZRRm976Cktu7dqNM49hJHponYr/SIEc0Een0zIvZ5Tc1XRSvC3y01FbfgiEYcFZ&#10;OZ/MMM+woJjn03I+iw2yJyTrfHjHjSIxqKnDs0uSwv7ah6H0oSQ21uZKSInfoZKa9Nj2bIaYhAGa&#10;skUzYKgsEvN6SwnILbqdBZcgvZGiicvjau+2m0vpyB6iR9Jv3NkfZbH3Cnw31KVULINKiYAXQgqF&#10;JI9XS430ooCDZDHamOYO5XZm8KG37Eog7DX4sAaHxkNb4tUMNzi00iApM0aUdMZ9/df3WI9+wCwl&#10;PRoZCX/ZgeOUyPcanVIW02l0fppMZ/MJTtxxZnOc0Tt1aVCHAh8By1IY64N8CFtn1Ge8wcvYFVOg&#10;GfYepB0nl2G4YPgGML5cpjJ0u4VwrW8ti+DDAS53wbQine2TOqNo6PfkjvFuxgt1PE9VT+/R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QB4zG2QAAAAoBAAAPAAAAAAAAAAEAIAAAACIAAABkcnMv&#10;ZG93bnJldi54bWxQSwECFAAUAAAACACHTuJAsGSN6XQCAADXBAAADgAAAAAAAAABACAAAAAoAQAA&#10;ZHJzL2Uyb0RvYy54bWxQSwUGAAAAAAYABgBZAQAADgYAAAAA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mVhMGNlMjFmMTM4N2M0ZDgzNDFhNTNlODllY2IifQ=="/>
  </w:docVars>
  <w:rsids>
    <w:rsidRoot w:val="00000000"/>
    <w:rsid w:val="1A7A4992"/>
    <w:rsid w:val="1F7F3AC4"/>
    <w:rsid w:val="1FF68599"/>
    <w:rsid w:val="221F2EBC"/>
    <w:rsid w:val="2FCF3EF8"/>
    <w:rsid w:val="30B93CDD"/>
    <w:rsid w:val="3DDF60C9"/>
    <w:rsid w:val="4F536028"/>
    <w:rsid w:val="5577646D"/>
    <w:rsid w:val="578E370D"/>
    <w:rsid w:val="5D7F0CAC"/>
    <w:rsid w:val="660F13D3"/>
    <w:rsid w:val="6A7FEFAC"/>
    <w:rsid w:val="6EFB778F"/>
    <w:rsid w:val="6F82B22F"/>
    <w:rsid w:val="6FEF1E6F"/>
    <w:rsid w:val="72557AF0"/>
    <w:rsid w:val="73CC67DF"/>
    <w:rsid w:val="761E2ADF"/>
    <w:rsid w:val="76CD220E"/>
    <w:rsid w:val="789A7B10"/>
    <w:rsid w:val="7BB541B7"/>
    <w:rsid w:val="7FAEFCBD"/>
    <w:rsid w:val="967F821A"/>
    <w:rsid w:val="BE3FCF86"/>
    <w:rsid w:val="BEB76A7F"/>
    <w:rsid w:val="D77D5953"/>
    <w:rsid w:val="DFDB8ECA"/>
    <w:rsid w:val="DFE36BFC"/>
    <w:rsid w:val="E3BF2AEE"/>
    <w:rsid w:val="E7F2142C"/>
    <w:rsid w:val="E9FFC8B5"/>
    <w:rsid w:val="EBF36108"/>
    <w:rsid w:val="F73F0D07"/>
    <w:rsid w:val="F77F2317"/>
    <w:rsid w:val="F8AFE220"/>
    <w:rsid w:val="FECF2604"/>
    <w:rsid w:val="FF97B016"/>
    <w:rsid w:val="FFEED507"/>
    <w:rsid w:val="FFFF347C"/>
    <w:rsid w:val="FF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ahoma" w:hAnsi="Tahom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1782</Words>
  <Characters>1880</Characters>
  <Lines>1</Lines>
  <Paragraphs>1</Paragraphs>
  <TotalTime>61</TotalTime>
  <ScaleCrop>false</ScaleCrop>
  <LinksUpToDate>false</LinksUpToDate>
  <CharactersWithSpaces>1906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2021-11-24T11:12:00Z</dcterms:created>
  <dc:creator>Administrator</dc:creator>
  <cp:lastModifiedBy>罗春英</cp:lastModifiedBy>
  <dcterms:modified xsi:type="dcterms:W3CDTF">2023-06-07T06:49:24Z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A067E3FDD39C7C6EBA008064FA6AB426_43</vt:lpwstr>
  </property>
</Properties>
</file>